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56" w:rsidRPr="00654E15" w:rsidRDefault="00413A26" w:rsidP="00C73B90">
      <w:pPr>
        <w:widowControl/>
        <w:autoSpaceDE w:val="0"/>
        <w:autoSpaceDN w:val="0"/>
        <w:rPr>
          <w:rFonts w:ascii="微軟正黑體" w:eastAsia="微軟正黑體" w:hAnsi="微軟正黑體" w:cs="Times New Roman"/>
          <w:b/>
          <w:color w:val="008080"/>
          <w:kern w:val="0"/>
          <w:sz w:val="48"/>
          <w:szCs w:val="48"/>
        </w:rPr>
      </w:pPr>
      <w:r>
        <w:rPr>
          <w:rFonts w:ascii="微軟正黑體" w:eastAsia="微軟正黑體" w:hAnsi="微軟正黑體" w:cs="SimSun"/>
          <w:noProof/>
          <w:color w:val="221E1F"/>
          <w:spacing w:val="-5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6EC96B66" wp14:editId="402A0AF6">
            <wp:simplePos x="0" y="0"/>
            <wp:positionH relativeFrom="page">
              <wp:posOffset>5219700</wp:posOffset>
            </wp:positionH>
            <wp:positionV relativeFrom="page">
              <wp:posOffset>595165</wp:posOffset>
            </wp:positionV>
            <wp:extent cx="1533600" cy="1738800"/>
            <wp:effectExtent l="0" t="0" r="0" b="0"/>
            <wp:wrapNone/>
            <wp:docPr id="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7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256" w:rsidRPr="00654E15">
        <w:rPr>
          <w:rFonts w:ascii="微軟正黑體" w:eastAsia="微軟正黑體" w:hAnsi="微軟正黑體" w:cs="SimSun"/>
          <w:b/>
          <w:color w:val="008080"/>
          <w:spacing w:val="16"/>
          <w:kern w:val="0"/>
          <w:sz w:val="48"/>
          <w:szCs w:val="48"/>
        </w:rPr>
        <w:t>透析病患的</w:t>
      </w:r>
      <w:r w:rsidR="00E26256" w:rsidRPr="00654E15">
        <w:rPr>
          <w:rFonts w:ascii="微軟正黑體" w:eastAsia="微軟正黑體" w:hAnsi="微軟正黑體" w:cs="SimSun"/>
          <w:b/>
          <w:color w:val="008080"/>
          <w:spacing w:val="15"/>
          <w:kern w:val="0"/>
          <w:sz w:val="48"/>
          <w:szCs w:val="48"/>
        </w:rPr>
        <w:t>副甲狀腺</w:t>
      </w:r>
      <w:r w:rsidR="00E26256" w:rsidRPr="00654E15">
        <w:rPr>
          <w:rFonts w:ascii="微軟正黑體" w:eastAsia="微軟正黑體" w:hAnsi="微軟正黑體" w:cs="SimSun"/>
          <w:b/>
          <w:color w:val="008080"/>
          <w:spacing w:val="4"/>
          <w:kern w:val="0"/>
          <w:sz w:val="48"/>
          <w:szCs w:val="48"/>
        </w:rPr>
        <w:t>機能</w:t>
      </w:r>
      <w:r w:rsidR="00E26256" w:rsidRPr="00654E15">
        <w:rPr>
          <w:rFonts w:ascii="微軟正黑體" w:eastAsia="微軟正黑體" w:hAnsi="微軟正黑體" w:cs="SimSun"/>
          <w:b/>
          <w:color w:val="008080"/>
          <w:spacing w:val="2"/>
          <w:kern w:val="0"/>
          <w:sz w:val="48"/>
          <w:szCs w:val="48"/>
        </w:rPr>
        <w:t>亢進</w:t>
      </w:r>
    </w:p>
    <w:p w:rsidR="00E26256" w:rsidRPr="00E26256" w:rsidRDefault="00E26256" w:rsidP="00E26256">
      <w:pPr>
        <w:widowControl/>
        <w:spacing w:line="200" w:lineRule="exact"/>
        <w:rPr>
          <w:rFonts w:ascii="Cambria" w:eastAsia="新細明體" w:hAnsi="Cambria" w:cs="Times New Roman"/>
          <w:kern w:val="0"/>
          <w:szCs w:val="24"/>
        </w:rPr>
      </w:pPr>
    </w:p>
    <w:p w:rsidR="00E26256" w:rsidRPr="00E26256" w:rsidRDefault="00E26256" w:rsidP="00E26256">
      <w:pPr>
        <w:widowControl/>
        <w:spacing w:line="282" w:lineRule="exact"/>
        <w:rPr>
          <w:rFonts w:ascii="Cambria" w:eastAsia="新細明體" w:hAnsi="Cambria" w:cs="Times New Roman"/>
          <w:kern w:val="0"/>
          <w:szCs w:val="24"/>
        </w:rPr>
      </w:pPr>
    </w:p>
    <w:p w:rsidR="00393711" w:rsidRDefault="00E26256" w:rsidP="00393711">
      <w:pPr>
        <w:widowControl/>
        <w:autoSpaceDE w:val="0"/>
        <w:autoSpaceDN w:val="0"/>
        <w:spacing w:line="480" w:lineRule="exact"/>
        <w:ind w:left="2155" w:firstLineChars="1400" w:firstLine="3220"/>
        <w:rPr>
          <w:rFonts w:ascii="微軟正黑體" w:eastAsia="微軟正黑體" w:hAnsi="微軟正黑體" w:cs="Times New Roman" w:hint="eastAsia"/>
          <w:kern w:val="0"/>
          <w:szCs w:val="24"/>
        </w:rPr>
      </w:pPr>
      <w:r w:rsidRPr="00C73B90">
        <w:rPr>
          <w:rFonts w:ascii="微軟正黑體" w:eastAsia="微軟正黑體" w:hAnsi="微軟正黑體" w:cs="SimSun"/>
          <w:color w:val="221E1F"/>
          <w:spacing w:val="-5"/>
          <w:kern w:val="0"/>
          <w:szCs w:val="24"/>
        </w:rPr>
        <w:t>郵政醫院</w:t>
      </w:r>
      <w:r w:rsidRPr="00C73B90">
        <w:rPr>
          <w:rFonts w:ascii="微軟正黑體" w:eastAsia="微軟正黑體" w:hAnsi="微軟正黑體" w:cs="SimSun"/>
          <w:color w:val="221E1F"/>
          <w:spacing w:val="-4"/>
          <w:kern w:val="0"/>
          <w:szCs w:val="24"/>
        </w:rPr>
        <w:t>腎臟科</w:t>
      </w:r>
    </w:p>
    <w:p w:rsidR="00E26256" w:rsidRPr="00C73B90" w:rsidRDefault="00E26256" w:rsidP="00393711">
      <w:pPr>
        <w:widowControl/>
        <w:autoSpaceDE w:val="0"/>
        <w:autoSpaceDN w:val="0"/>
        <w:spacing w:line="480" w:lineRule="exact"/>
        <w:ind w:firstLineChars="2250" w:firstLine="5220"/>
        <w:rPr>
          <w:rFonts w:ascii="微軟正黑體" w:eastAsia="微軟正黑體" w:hAnsi="微軟正黑體" w:cs="Times New Roman"/>
          <w:kern w:val="0"/>
          <w:szCs w:val="24"/>
        </w:rPr>
      </w:pPr>
      <w:bookmarkStart w:id="0" w:name="_GoBack"/>
      <w:bookmarkEnd w:id="0"/>
      <w:r w:rsidRPr="00C73B90">
        <w:rPr>
          <w:rFonts w:ascii="微軟正黑體" w:eastAsia="微軟正黑體" w:hAnsi="微軟正黑體" w:cs="SimSun"/>
          <w:color w:val="221E1F"/>
          <w:spacing w:val="-4"/>
          <w:kern w:val="0"/>
          <w:szCs w:val="24"/>
        </w:rPr>
        <w:t>葉庭</w:t>
      </w:r>
      <w:r w:rsidRPr="00C73B90">
        <w:rPr>
          <w:rFonts w:ascii="微軟正黑體" w:eastAsia="微軟正黑體" w:hAnsi="微軟正黑體" w:cs="SimSun"/>
          <w:color w:val="221E1F"/>
          <w:spacing w:val="-2"/>
          <w:kern w:val="0"/>
          <w:szCs w:val="24"/>
        </w:rPr>
        <w:t>豪醫師</w:t>
      </w:r>
    </w:p>
    <w:p w:rsidR="00E26256" w:rsidRPr="00413A26" w:rsidRDefault="00E26256" w:rsidP="00E26256">
      <w:pPr>
        <w:widowControl/>
        <w:spacing w:line="319" w:lineRule="exact"/>
        <w:rPr>
          <w:rFonts w:ascii="Cambria" w:eastAsia="新細明體" w:hAnsi="Cambria" w:cs="Times New Roman"/>
          <w:kern w:val="0"/>
          <w:szCs w:val="24"/>
        </w:rPr>
      </w:pP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B5E00">
        <w:rPr>
          <w:rFonts w:ascii="微軟正黑體" w:eastAsia="微軟正黑體" w:hAnsi="微軟正黑體"/>
          <w:sz w:val="28"/>
          <w:szCs w:val="28"/>
        </w:rPr>
        <w:t>在洗腎室，我們會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定期幫腎友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進行血液檢查，其中包含了三個月會檢查一次的副 甲 狀 腺 素 濃 度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(intact parathyroid hormone, 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iPTH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，在解釋報告的時候，往往會發現這是腎友們比較不熟悉的檢查項目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: </w:t>
      </w:r>
      <w:r w:rsidRPr="009B5E00">
        <w:rPr>
          <w:rFonts w:ascii="微軟正黑體" w:eastAsia="微軟正黑體" w:hAnsi="微軟正黑體"/>
          <w:sz w:val="28"/>
          <w:szCs w:val="28"/>
        </w:rPr>
        <w:t>但是，事實上，透析病患的副甲狀腺機能亢進，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跟腎性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骨病變的發生，還有其他的併發症息息相關，為了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讓腎友能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更了解副甲狀腺機能亢進這個主題，我會在接下來的文章中對其作介紹。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sz w:val="36"/>
          <w:szCs w:val="36"/>
        </w:rPr>
      </w:pPr>
      <w:r w:rsidRPr="009B5E00">
        <w:rPr>
          <w:rFonts w:ascii="微軟正黑體" w:eastAsia="微軟正黑體" w:hAnsi="微軟正黑體"/>
          <w:b/>
          <w:color w:val="008080"/>
          <w:sz w:val="36"/>
          <w:szCs w:val="36"/>
        </w:rPr>
        <w:t>什麼是副甲狀腺，它的功能是什麼？</w:t>
      </w:r>
    </w:p>
    <w:p w:rsidR="00054195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/>
          <w:sz w:val="28"/>
          <w:szCs w:val="28"/>
        </w:rPr>
      </w:pPr>
      <w:r w:rsidRPr="009B5E00">
        <w:rPr>
          <w:rFonts w:ascii="微軟正黑體" w:eastAsia="微軟正黑體" w:hAnsi="微軟正黑體"/>
          <w:sz w:val="28"/>
          <w:szCs w:val="28"/>
        </w:rPr>
        <w:t xml:space="preserve">正常人一般有四個副甲狀腺，其位於甲狀腺的背後，是一個相當小的腺體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( </w:t>
      </w:r>
      <w:r w:rsidRPr="009B5E00">
        <w:rPr>
          <w:rFonts w:ascii="微軟正黑體" w:eastAsia="微軟正黑體" w:hAnsi="微軟正黑體"/>
          <w:sz w:val="28"/>
          <w:szCs w:val="28"/>
        </w:rPr>
        <w:t>每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個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約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20-40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毫克 </w:t>
      </w:r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。副甲狀腺會分泌副甲狀腺素，其對於體內的鈣、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磷調控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非常重要，其會刺激骨頭，使鈣質釋出，也會刺激腎臟，使其對鈣質的再吸收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及磷的排泄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上升，除此以外，其也會間接性的使腸胃道對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鈣跟磷的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吸收上升。</w:t>
      </w:r>
    </w:p>
    <w:p w:rsidR="00E26256" w:rsidRPr="009B5E00" w:rsidRDefault="00E26256" w:rsidP="009B5E00">
      <w:pPr>
        <w:widowControl/>
        <w:autoSpaceDE w:val="0"/>
        <w:autoSpaceDN w:val="0"/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kern w:val="0"/>
          <w:sz w:val="36"/>
          <w:szCs w:val="36"/>
        </w:rPr>
      </w:pPr>
      <w:r w:rsidRPr="009B5E00">
        <w:rPr>
          <w:rFonts w:ascii="微軟正黑體" w:eastAsia="微軟正黑體" w:hAnsi="微軟正黑體" w:cs="SimSun"/>
          <w:b/>
          <w:color w:val="008080"/>
          <w:kern w:val="0"/>
          <w:sz w:val="36"/>
          <w:szCs w:val="36"/>
        </w:rPr>
        <w:t>為什麼透析病患會有副甲狀腺機能亢進的問題？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9B5E00">
        <w:rPr>
          <w:rFonts w:ascii="微軟正黑體" w:eastAsia="微軟正黑體" w:hAnsi="微軟正黑體"/>
          <w:sz w:val="28"/>
          <w:szCs w:val="28"/>
        </w:rPr>
        <w:t>從前面可以知道，副甲狀腺素跟鈣、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磷調控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有關，而其分泌也是跟體內的鈣、磷相關；透析病患常常會有高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血磷症的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問題，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體內磷的堆積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，本身就會刺激副甲狀腺細胞的生長；同時，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磷的堆積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，也會使血鈣下降，這也會刺激副甲狀腺素的分泌；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此外，磷的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堆積也會直接或間接性的使腎臟分泌活性維他命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D3 (calcitriol) </w:t>
      </w:r>
      <w:r w:rsidRPr="009B5E00">
        <w:rPr>
          <w:rFonts w:ascii="微軟正黑體" w:eastAsia="微軟正黑體" w:hAnsi="微軟正黑體"/>
          <w:sz w:val="28"/>
          <w:szCs w:val="28"/>
        </w:rPr>
        <w:t>的量下降，這也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會使副甲狀腺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增生，並使其分泌副甲狀腺素的量上升</w:t>
      </w:r>
      <w:r w:rsidRPr="009B5E00">
        <w:rPr>
          <w:rFonts w:ascii="微軟正黑體" w:eastAsia="微軟正黑體" w:hAnsi="微軟正黑體"/>
          <w:sz w:val="28"/>
        </w:rPr>
        <w:t>。</w:t>
      </w:r>
    </w:p>
    <w:p w:rsidR="00E26256" w:rsidRPr="009B5E00" w:rsidRDefault="00E26256" w:rsidP="009B5E00">
      <w:pPr>
        <w:widowControl/>
        <w:autoSpaceDE w:val="0"/>
        <w:autoSpaceDN w:val="0"/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kern w:val="0"/>
          <w:sz w:val="28"/>
          <w:szCs w:val="24"/>
        </w:rPr>
      </w:pPr>
      <w:r w:rsidRPr="009B5E00">
        <w:rPr>
          <w:rFonts w:ascii="微軟正黑體" w:eastAsia="微軟正黑體" w:hAnsi="微軟正黑體" w:cs="SimSun"/>
          <w:b/>
          <w:color w:val="008080"/>
          <w:kern w:val="0"/>
          <w:sz w:val="36"/>
          <w:szCs w:val="32"/>
        </w:rPr>
        <w:t>副甲狀腺機能亢進會造成什麼問題？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9B5E00">
        <w:rPr>
          <w:rFonts w:ascii="微軟正黑體" w:eastAsia="微軟正黑體" w:hAnsi="微軟正黑體"/>
          <w:sz w:val="28"/>
        </w:rPr>
        <w:t>副甲狀腺機能亢進，一開始的症狀並不明顯，只會在抽血檢驗中發現異常，像是副</w:t>
      </w:r>
      <w:r w:rsidRPr="009B5E00">
        <w:rPr>
          <w:rFonts w:ascii="微軟正黑體" w:eastAsia="微軟正黑體" w:hAnsi="微軟正黑體"/>
          <w:sz w:val="28"/>
        </w:rPr>
        <w:lastRenderedPageBreak/>
        <w:t>甲狀腺素濃度，還有鹼性磷酸酶</w:t>
      </w:r>
      <w:r w:rsidRPr="009B5E00">
        <w:rPr>
          <w:rFonts w:ascii="微軟正黑體" w:eastAsia="微軟正黑體" w:hAnsi="微軟正黑體" w:cs="Arial"/>
          <w:sz w:val="28"/>
        </w:rPr>
        <w:t xml:space="preserve">(alkaline phosphatase, ALP) </w:t>
      </w:r>
      <w:r w:rsidRPr="009B5E00">
        <w:rPr>
          <w:rFonts w:ascii="微軟正黑體" w:eastAsia="微軟正黑體" w:hAnsi="微軟正黑體"/>
          <w:sz w:val="28"/>
        </w:rPr>
        <w:t>的上升；持續性的副甲狀腺機能亢進，會造成高週轉</w:t>
      </w:r>
      <w:proofErr w:type="gramStart"/>
      <w:r w:rsidRPr="009B5E00">
        <w:rPr>
          <w:rFonts w:ascii="微軟正黑體" w:eastAsia="微軟正黑體" w:hAnsi="微軟正黑體"/>
          <w:sz w:val="28"/>
        </w:rPr>
        <w:t>性腎性</w:t>
      </w:r>
      <w:proofErr w:type="gramEnd"/>
      <w:r w:rsidRPr="009B5E00">
        <w:rPr>
          <w:rFonts w:ascii="微軟正黑體" w:eastAsia="微軟正黑體" w:hAnsi="微軟正黑體"/>
          <w:sz w:val="28"/>
        </w:rPr>
        <w:t xml:space="preserve">骨病變 </w:t>
      </w:r>
      <w:r w:rsidRPr="009B5E00">
        <w:rPr>
          <w:rFonts w:ascii="微軟正黑體" w:eastAsia="微軟正黑體" w:hAnsi="微軟正黑體" w:cs="Arial"/>
          <w:sz w:val="28"/>
        </w:rPr>
        <w:t>(high turnover renal osteodystrophy)</w:t>
      </w:r>
      <w:r w:rsidRPr="009B5E00">
        <w:rPr>
          <w:rFonts w:ascii="微軟正黑體" w:eastAsia="微軟正黑體" w:hAnsi="微軟正黑體"/>
          <w:sz w:val="28"/>
        </w:rPr>
        <w:t>，病人可能會有下背、屁股、小腿等處的</w:t>
      </w:r>
      <w:proofErr w:type="gramStart"/>
      <w:r w:rsidRPr="009B5E00">
        <w:rPr>
          <w:rFonts w:ascii="微軟正黑體" w:eastAsia="微軟正黑體" w:hAnsi="微軟正黑體"/>
          <w:sz w:val="28"/>
        </w:rPr>
        <w:t>疼痛，</w:t>
      </w:r>
      <w:proofErr w:type="gramEnd"/>
      <w:r w:rsidRPr="009B5E00">
        <w:rPr>
          <w:rFonts w:ascii="微軟正黑體" w:eastAsia="微軟正黑體" w:hAnsi="微軟正黑體"/>
          <w:sz w:val="28"/>
        </w:rPr>
        <w:t>也有可能會有局部的急性關節疼痛；而嚴重的副甲狀腺機能亢進，會造成骨質疏鬆跟骨折、骨頭變形的問題，其中，又以</w:t>
      </w:r>
      <w:proofErr w:type="gramStart"/>
      <w:r w:rsidRPr="009B5E00">
        <w:rPr>
          <w:rFonts w:ascii="微軟正黑體" w:eastAsia="微軟正黑體" w:hAnsi="微軟正黑體"/>
          <w:sz w:val="28"/>
        </w:rPr>
        <w:t>中軸骨</w:t>
      </w:r>
      <w:proofErr w:type="gramEnd"/>
      <w:r w:rsidRPr="009B5E00">
        <w:rPr>
          <w:rFonts w:ascii="微軟正黑體" w:eastAsia="微軟正黑體" w:hAnsi="微軟正黑體"/>
          <w:sz w:val="28"/>
        </w:rPr>
        <w:t xml:space="preserve"> </w:t>
      </w:r>
      <w:r w:rsidRPr="009B5E00">
        <w:rPr>
          <w:rFonts w:ascii="微軟正黑體" w:eastAsia="微軟正黑體" w:hAnsi="微軟正黑體" w:cs="Arial"/>
          <w:sz w:val="28"/>
        </w:rPr>
        <w:t xml:space="preserve">( </w:t>
      </w:r>
      <w:r w:rsidRPr="009B5E00">
        <w:rPr>
          <w:rFonts w:ascii="微軟正黑體" w:eastAsia="微軟正黑體" w:hAnsi="微軟正黑體"/>
          <w:sz w:val="28"/>
        </w:rPr>
        <w:t xml:space="preserve">像是脊椎骨或是肋骨 </w:t>
      </w:r>
      <w:r w:rsidRPr="009B5E00">
        <w:rPr>
          <w:rFonts w:ascii="微軟正黑體" w:eastAsia="微軟正黑體" w:hAnsi="微軟正黑體" w:cs="Arial"/>
          <w:sz w:val="28"/>
        </w:rPr>
        <w:t xml:space="preserve">) </w:t>
      </w:r>
      <w:r w:rsidRPr="009B5E00">
        <w:rPr>
          <w:rFonts w:ascii="微軟正黑體" w:eastAsia="微軟正黑體" w:hAnsi="微軟正黑體"/>
          <w:sz w:val="28"/>
        </w:rPr>
        <w:t>特別容易受到影響。</w:t>
      </w:r>
      <w:proofErr w:type="gramStart"/>
      <w:r w:rsidRPr="009B5E00">
        <w:rPr>
          <w:rFonts w:ascii="微軟正黑體" w:eastAsia="微軟正黑體" w:hAnsi="微軟正黑體"/>
          <w:sz w:val="28"/>
        </w:rPr>
        <w:t>此外，</w:t>
      </w:r>
      <w:proofErr w:type="gramEnd"/>
      <w:r w:rsidRPr="009B5E00">
        <w:rPr>
          <w:rFonts w:ascii="微軟正黑體" w:eastAsia="微軟正黑體" w:hAnsi="微軟正黑體"/>
          <w:sz w:val="28"/>
        </w:rPr>
        <w:t>副甲狀腺機能亢進，也會</w:t>
      </w:r>
      <w:proofErr w:type="gramStart"/>
      <w:r w:rsidRPr="009B5E00">
        <w:rPr>
          <w:rFonts w:ascii="微軟正黑體" w:eastAsia="微軟正黑體" w:hAnsi="微軟正黑體"/>
          <w:sz w:val="28"/>
        </w:rPr>
        <w:t>造成骨外鈣化</w:t>
      </w:r>
      <w:proofErr w:type="gramEnd"/>
      <w:r w:rsidRPr="009B5E00">
        <w:rPr>
          <w:rFonts w:ascii="微軟正黑體" w:eastAsia="微軟正黑體" w:hAnsi="微軟正黑體"/>
          <w:sz w:val="28"/>
        </w:rPr>
        <w:t xml:space="preserve"> </w:t>
      </w:r>
      <w:r w:rsidRPr="009B5E00">
        <w:rPr>
          <w:rFonts w:ascii="微軟正黑體" w:eastAsia="微軟正黑體" w:hAnsi="微軟正黑體" w:cs="Arial"/>
          <w:sz w:val="28"/>
        </w:rPr>
        <w:t>(</w:t>
      </w:r>
      <w:proofErr w:type="spellStart"/>
      <w:r w:rsidRPr="009B5E00">
        <w:rPr>
          <w:rFonts w:ascii="微軟正黑體" w:eastAsia="微軟正黑體" w:hAnsi="微軟正黑體" w:cs="Arial"/>
          <w:sz w:val="28"/>
        </w:rPr>
        <w:t>extraskeletal</w:t>
      </w:r>
      <w:proofErr w:type="spellEnd"/>
      <w:r w:rsidRPr="009B5E00">
        <w:rPr>
          <w:rFonts w:ascii="微軟正黑體" w:eastAsia="微軟正黑體" w:hAnsi="微軟正黑體" w:cs="Arial"/>
          <w:sz w:val="28"/>
        </w:rPr>
        <w:t xml:space="preserve"> calcifications) </w:t>
      </w:r>
      <w:r w:rsidRPr="009B5E00">
        <w:rPr>
          <w:rFonts w:ascii="微軟正黑體" w:eastAsia="微軟正黑體" w:hAnsi="微軟正黑體"/>
          <w:sz w:val="28"/>
        </w:rPr>
        <w:t>的 情形，</w:t>
      </w:r>
      <w:proofErr w:type="gramStart"/>
      <w:r w:rsidRPr="009B5E00">
        <w:rPr>
          <w:rFonts w:ascii="微軟正黑體" w:eastAsia="微軟正黑體" w:hAnsi="微軟正黑體"/>
          <w:sz w:val="28"/>
        </w:rPr>
        <w:t>尤其是當血中的</w:t>
      </w:r>
      <w:proofErr w:type="gramEnd"/>
      <w:r w:rsidRPr="009B5E00">
        <w:rPr>
          <w:rFonts w:ascii="微軟正黑體" w:eastAsia="微軟正黑體" w:hAnsi="微軟正黑體"/>
          <w:sz w:val="28"/>
        </w:rPr>
        <w:t>鈣磷乘積持續上升時；</w:t>
      </w:r>
      <w:proofErr w:type="gramStart"/>
      <w:r w:rsidRPr="009B5E00">
        <w:rPr>
          <w:rFonts w:ascii="微軟正黑體" w:eastAsia="微軟正黑體" w:hAnsi="微軟正黑體"/>
          <w:sz w:val="28"/>
        </w:rPr>
        <w:t>骨外鈣化</w:t>
      </w:r>
      <w:proofErr w:type="gramEnd"/>
      <w:r w:rsidRPr="009B5E00">
        <w:rPr>
          <w:rFonts w:ascii="微軟正黑體" w:eastAsia="微軟正黑體" w:hAnsi="微軟正黑體"/>
          <w:sz w:val="28"/>
        </w:rPr>
        <w:t>最常見的部位是血管鈣化，會導致心血管疾病，但是肺臟、心肌、還有關節周圍也都有可能會有鈣化的情形；而透析病患的搔癢還有貧血，也有機會跟副甲狀腺機能亢進有關。</w:t>
      </w:r>
    </w:p>
    <w:p w:rsidR="00E26256" w:rsidRPr="009B5E00" w:rsidRDefault="00E26256" w:rsidP="009B5E00">
      <w:pPr>
        <w:widowControl/>
        <w:autoSpaceDE w:val="0"/>
        <w:autoSpaceDN w:val="0"/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kern w:val="0"/>
          <w:sz w:val="28"/>
          <w:szCs w:val="24"/>
        </w:rPr>
      </w:pPr>
      <w:r w:rsidRPr="009B5E00">
        <w:rPr>
          <w:rFonts w:ascii="微軟正黑體" w:eastAsia="微軟正黑體" w:hAnsi="微軟正黑體" w:cs="SimSun"/>
          <w:b/>
          <w:color w:val="008080"/>
          <w:kern w:val="0"/>
          <w:sz w:val="36"/>
          <w:szCs w:val="32"/>
        </w:rPr>
        <w:t>副甲狀腺機能亢進要如何治療？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B5E00">
        <w:rPr>
          <w:rFonts w:ascii="微軟正黑體" w:eastAsia="微軟正黑體" w:hAnsi="微軟正黑體"/>
          <w:sz w:val="28"/>
          <w:szCs w:val="28"/>
        </w:rPr>
        <w:t>前面提到，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體內磷的堆積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，是透析病患副甲狀腺機能亢進主要的原因之一，因此，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減少磷的堆積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，對於避免副甲狀腺機能亢進來說非常重要。要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減少磷的堆積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，首先要減少從食物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中磷的攝取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，建議是一天小於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800 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毫克，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尤其是要避免無機磷酸鹽類的攝取，因為人體對無機磷酸鹽類的吸收相當好；無機磷酸鹽，主要是作為食品添加物，存在加工食品中，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因此腎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友對加工食品的攝取要相當小心。但對於腎友來說，光是限制食物中的磷，很難將血磷控制在合宜的範圍 </w:t>
      </w:r>
      <w:r w:rsidRPr="009B5E00">
        <w:rPr>
          <w:rFonts w:ascii="微軟正黑體" w:eastAsia="微軟正黑體" w:hAnsi="微軟正黑體" w:cs="Arial"/>
          <w:sz w:val="28"/>
          <w:szCs w:val="28"/>
        </w:rPr>
        <w:t>(3.5mg/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dL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>- 5.5mg/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dL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因此磷結合劑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往往是必要的，而目前在台灣常見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的磷結合劑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，有含鈣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的磷結合劑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(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如碳酸鈣、醋酸鈣 </w:t>
      </w:r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，及不含鈣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的磷結合劑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( </w:t>
      </w:r>
      <w:r w:rsidRPr="009B5E00">
        <w:rPr>
          <w:rFonts w:ascii="微軟正黑體" w:eastAsia="微軟正黑體" w:hAnsi="微軟正黑體"/>
          <w:sz w:val="28"/>
          <w:szCs w:val="28"/>
        </w:rPr>
        <w:t>如檸檬酸鐵、碳酸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鑭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、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磷減樂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等等 </w:t>
      </w:r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。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B5E00">
        <w:rPr>
          <w:rFonts w:ascii="微軟正黑體" w:eastAsia="微軟正黑體" w:hAnsi="微軟正黑體"/>
          <w:sz w:val="28"/>
          <w:szCs w:val="28"/>
        </w:rPr>
        <w:t xml:space="preserve">而副甲狀腺機能亢進治療的另外一個重點，則是使用活性維他命 </w:t>
      </w:r>
      <w:r w:rsidRPr="009B5E00">
        <w:rPr>
          <w:rFonts w:ascii="微軟正黑體" w:eastAsia="微軟正黑體" w:hAnsi="微軟正黑體" w:cs="Arial"/>
          <w:sz w:val="28"/>
          <w:szCs w:val="28"/>
        </w:rPr>
        <w:t>D3(calcitriol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，口 服 劑 型 如 活 維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D </w:t>
      </w:r>
      <w:r w:rsidRPr="009B5E00">
        <w:rPr>
          <w:rFonts w:ascii="微軟正黑體" w:eastAsia="微軟正黑體" w:hAnsi="微軟正黑體"/>
          <w:sz w:val="28"/>
          <w:szCs w:val="28"/>
        </w:rPr>
        <w:t>軟 膠 囊，針 劑 劑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型如鈣賜吉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注射劑 </w:t>
      </w:r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，或是其類似物，像 旺 爾 華 錠 </w:t>
      </w:r>
      <w:r w:rsidRPr="009B5E00">
        <w:rPr>
          <w:rFonts w:ascii="微軟正黑體" w:eastAsia="微軟正黑體" w:hAnsi="微軟正黑體" w:cs="Arial"/>
          <w:sz w:val="28"/>
          <w:szCs w:val="28"/>
        </w:rPr>
        <w:t>(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alfacalcidol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、腎 骨 樂</w:t>
      </w:r>
      <w:r w:rsidRPr="009B5E00">
        <w:rPr>
          <w:rFonts w:ascii="微軟正黑體" w:eastAsia="微軟正黑體" w:hAnsi="微軟正黑體" w:cs="Arial"/>
          <w:sz w:val="28"/>
          <w:szCs w:val="28"/>
        </w:rPr>
        <w:t>(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paricalcitol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，都可以降低副甲狀腺素的濃度；但是如果當副甲狀腺素的濃度大幅上升，或是副甲狀腺明顯地變大且出現結節性增生時，這些藥物的效果就比較有限；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此外，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因為這些藥物會刺激腸道吸收鈣、磷，因此血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鈣跟血磷的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上升是常見的副作用。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lastRenderedPageBreak/>
        <w:t>擬鈣劑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 </w:t>
      </w:r>
      <w:r w:rsidRPr="009B5E00">
        <w:rPr>
          <w:rFonts w:ascii="微軟正黑體" w:eastAsia="微軟正黑體" w:hAnsi="微軟正黑體" w:cs="Arial"/>
          <w:sz w:val="28"/>
          <w:szCs w:val="28"/>
        </w:rPr>
        <w:t>(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calcimimetic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 xml:space="preserve">)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是另一類被拿來治療副甲狀腺機能亢進的藥物，目前在台灣只有一種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(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藥名為 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cinacalcet</w:t>
      </w:r>
      <w:proofErr w:type="spellEnd"/>
      <w:r w:rsidRPr="009B5E00">
        <w:rPr>
          <w:rFonts w:ascii="微軟正黑體" w:eastAsia="微軟正黑體" w:hAnsi="微軟正黑體"/>
          <w:sz w:val="28"/>
          <w:szCs w:val="28"/>
        </w:rPr>
        <w:t>，商品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名銳克鈣或是鈣易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清，為口服藥物 </w:t>
      </w:r>
      <w:r w:rsidRPr="009B5E00">
        <w:rPr>
          <w:rFonts w:ascii="微軟正黑體" w:eastAsia="微軟正黑體" w:hAnsi="微軟正黑體" w:cs="Arial"/>
          <w:sz w:val="28"/>
          <w:szCs w:val="28"/>
        </w:rPr>
        <w:t>)</w:t>
      </w:r>
      <w:r w:rsidRPr="009B5E00">
        <w:rPr>
          <w:rFonts w:ascii="微軟正黑體" w:eastAsia="微軟正黑體" w:hAnsi="微軟正黑體"/>
          <w:sz w:val="28"/>
          <w:szCs w:val="28"/>
        </w:rPr>
        <w:t>，其作用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是使副甲狀腺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對血鈣變得更加敏感，讓副甲狀腺素的分泌受到抑制。此藥的效果不錯，可以協助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更多腎友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將鈣、磷及副甲狀腺素控制在合宜範圍內，並減少他們需要切除副甲狀腺的機會；但是目前國內健保沒有給付，且藥物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單價偏貴是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 xml:space="preserve">其缺點。而在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2017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年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2 </w:t>
      </w:r>
      <w:r w:rsidRPr="009B5E00">
        <w:rPr>
          <w:rFonts w:ascii="微軟正黑體" w:eastAsia="微軟正黑體" w:hAnsi="微軟正黑體"/>
          <w:sz w:val="28"/>
          <w:szCs w:val="28"/>
        </w:rPr>
        <w:t>月，美國食品及藥物管理局，通過了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etelcalcetide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 xml:space="preserve"> </w:t>
      </w:r>
      <w:r w:rsidRPr="009B5E00">
        <w:rPr>
          <w:rFonts w:ascii="微軟正黑體" w:eastAsia="微軟正黑體" w:hAnsi="微軟正黑體"/>
          <w:sz w:val="28"/>
          <w:szCs w:val="28"/>
        </w:rPr>
        <w:t>這個藥物，其也是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擬鈣劑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，為靜脈注射的劑型，可在每次透析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結束前施打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，希望能早日引進國內，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讓腎友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多一個治療副甲狀腺機能亢進的選擇。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B5E00">
        <w:rPr>
          <w:rFonts w:ascii="微軟正黑體" w:eastAsia="微軟正黑體" w:hAnsi="微軟正黑體"/>
          <w:sz w:val="28"/>
          <w:szCs w:val="28"/>
        </w:rPr>
        <w:t xml:space="preserve">當前面提到的這些方法，都沒辦法控制副甲狀腺機能亢進，或是病人有厲害的高血鈣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/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高血磷，造成用藥上的困難時，就要考慮做副甲狀腺的手術切除，一般來說，這些病人的 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iPTH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 xml:space="preserve"> </w:t>
      </w:r>
      <w:r w:rsidRPr="009B5E00">
        <w:rPr>
          <w:rFonts w:ascii="微軟正黑體" w:eastAsia="微軟正黑體" w:hAnsi="微軟正黑體"/>
          <w:sz w:val="28"/>
          <w:szCs w:val="28"/>
        </w:rPr>
        <w:t xml:space="preserve">都是在 </w:t>
      </w:r>
      <w:r w:rsidRPr="009B5E00">
        <w:rPr>
          <w:rFonts w:ascii="微軟正黑體" w:eastAsia="微軟正黑體" w:hAnsi="微軟正黑體" w:cs="Arial"/>
          <w:sz w:val="28"/>
          <w:szCs w:val="28"/>
        </w:rPr>
        <w:t xml:space="preserve">800 </w:t>
      </w:r>
      <w:proofErr w:type="spellStart"/>
      <w:r w:rsidRPr="009B5E00">
        <w:rPr>
          <w:rFonts w:ascii="微軟正黑體" w:eastAsia="微軟正黑體" w:hAnsi="微軟正黑體" w:cs="Arial"/>
          <w:sz w:val="28"/>
          <w:szCs w:val="28"/>
        </w:rPr>
        <w:t>pg</w:t>
      </w:r>
      <w:proofErr w:type="spellEnd"/>
      <w:r w:rsidRPr="009B5E00">
        <w:rPr>
          <w:rFonts w:ascii="微軟正黑體" w:eastAsia="微軟正黑體" w:hAnsi="微軟正黑體" w:cs="Arial"/>
          <w:sz w:val="28"/>
          <w:szCs w:val="28"/>
        </w:rPr>
        <w:t xml:space="preserve">/ mL </w:t>
      </w:r>
      <w:r w:rsidRPr="009B5E00">
        <w:rPr>
          <w:rFonts w:ascii="微軟正黑體" w:eastAsia="微軟正黑體" w:hAnsi="微軟正黑體"/>
          <w:sz w:val="28"/>
          <w:szCs w:val="28"/>
        </w:rPr>
        <w:t>以上，並且伴隨著鹼性磷酸酶的上升。副甲狀腺手術比較常見的做法，是副甲狀腺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的亞全切除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術，或是全切除，再加上在前臂植入部分副甲狀腺組織。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此外，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當病人有厲害的副甲狀腺機能亢進，同時也有持續性的搔癢或是愈來愈嚴重</w:t>
      </w:r>
      <w:proofErr w:type="gramStart"/>
      <w:r w:rsidRPr="009B5E00">
        <w:rPr>
          <w:rFonts w:ascii="微軟正黑體" w:eastAsia="微軟正黑體" w:hAnsi="微軟正黑體"/>
          <w:sz w:val="28"/>
          <w:szCs w:val="28"/>
        </w:rPr>
        <w:t>的骨外鈣化</w:t>
      </w:r>
      <w:proofErr w:type="gramEnd"/>
      <w:r w:rsidRPr="009B5E00">
        <w:rPr>
          <w:rFonts w:ascii="微軟正黑體" w:eastAsia="微軟正黑體" w:hAnsi="微軟正黑體"/>
          <w:sz w:val="28"/>
          <w:szCs w:val="28"/>
        </w:rPr>
        <w:t>的情形下，也應該要考慮副甲狀腺的手術切除</w:t>
      </w:r>
      <w:r w:rsidRPr="009B5E00">
        <w:rPr>
          <w:rFonts w:ascii="微軟正黑體" w:eastAsia="微軟正黑體" w:hAnsi="微軟正黑體" w:cs="SimSun"/>
          <w:color w:val="221E1F"/>
          <w:kern w:val="0"/>
          <w:sz w:val="28"/>
          <w:szCs w:val="28"/>
        </w:rPr>
        <w:t>。</w:t>
      </w:r>
    </w:p>
    <w:p w:rsidR="00E26256" w:rsidRPr="009B5E00" w:rsidRDefault="00E26256" w:rsidP="009B5E00">
      <w:pPr>
        <w:widowControl/>
        <w:autoSpaceDE w:val="0"/>
        <w:autoSpaceDN w:val="0"/>
        <w:spacing w:beforeLines="50" w:before="180" w:line="600" w:lineRule="exact"/>
        <w:rPr>
          <w:rFonts w:ascii="微軟正黑體" w:eastAsia="微軟正黑體" w:hAnsi="微軟正黑體" w:cs="Times New Roman"/>
          <w:b/>
          <w:color w:val="008080"/>
          <w:kern w:val="0"/>
          <w:sz w:val="28"/>
          <w:szCs w:val="24"/>
        </w:rPr>
      </w:pPr>
      <w:r w:rsidRPr="009B5E00">
        <w:rPr>
          <w:rFonts w:ascii="微軟正黑體" w:eastAsia="微軟正黑體" w:hAnsi="微軟正黑體" w:cs="SimSun"/>
          <w:b/>
          <w:color w:val="008080"/>
          <w:kern w:val="0"/>
          <w:sz w:val="36"/>
          <w:szCs w:val="32"/>
        </w:rPr>
        <w:t>結語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4"/>
        </w:rPr>
      </w:pPr>
      <w:r w:rsidRPr="009B5E00">
        <w:rPr>
          <w:rFonts w:ascii="微軟正黑體" w:eastAsia="微軟正黑體" w:hAnsi="微軟正黑體"/>
          <w:sz w:val="28"/>
        </w:rPr>
        <w:t>副甲狀腺機能亢進，跟高</w:t>
      </w:r>
      <w:proofErr w:type="gramStart"/>
      <w:r w:rsidRPr="009B5E00">
        <w:rPr>
          <w:rFonts w:ascii="微軟正黑體" w:eastAsia="微軟正黑體" w:hAnsi="微軟正黑體"/>
          <w:sz w:val="28"/>
        </w:rPr>
        <w:t>血磷症</w:t>
      </w:r>
      <w:proofErr w:type="gramEnd"/>
      <w:r w:rsidRPr="009B5E00">
        <w:rPr>
          <w:rFonts w:ascii="微軟正黑體" w:eastAsia="微軟正黑體" w:hAnsi="微軟正黑體"/>
          <w:sz w:val="28"/>
        </w:rPr>
        <w:t>，在一開始都不會有什麼症狀，再加上其控制有賴於長期在飲食上對磷攝取的限制，還有降磷劑的使用，這些對腎友</w:t>
      </w:r>
      <w:proofErr w:type="gramStart"/>
      <w:r w:rsidRPr="009B5E00">
        <w:rPr>
          <w:rFonts w:ascii="微軟正黑體" w:eastAsia="微軟正黑體" w:hAnsi="微軟正黑體"/>
          <w:sz w:val="28"/>
        </w:rPr>
        <w:t>來說是比較</w:t>
      </w:r>
      <w:proofErr w:type="gramEnd"/>
      <w:r w:rsidRPr="009B5E00">
        <w:rPr>
          <w:rFonts w:ascii="微軟正黑體" w:eastAsia="微軟正黑體" w:hAnsi="微軟正黑體"/>
          <w:sz w:val="28"/>
        </w:rPr>
        <w:t>辛苦的，</w:t>
      </w:r>
      <w:proofErr w:type="gramStart"/>
      <w:r w:rsidRPr="009B5E00">
        <w:rPr>
          <w:rFonts w:ascii="微軟正黑體" w:eastAsia="微軟正黑體" w:hAnsi="微軟正黑體"/>
          <w:sz w:val="28"/>
        </w:rPr>
        <w:t>因此腎</w:t>
      </w:r>
      <w:proofErr w:type="gramEnd"/>
      <w:r w:rsidRPr="009B5E00">
        <w:rPr>
          <w:rFonts w:ascii="微軟正黑體" w:eastAsia="微軟正黑體" w:hAnsi="微軟正黑體"/>
          <w:sz w:val="28"/>
        </w:rPr>
        <w:t>友往往會疏於注意這方面的問題；等到真的出現症狀，要再來處理副甲狀腺機能亢進，難度就會高得多。因此，希望本文能</w:t>
      </w:r>
      <w:proofErr w:type="gramStart"/>
      <w:r w:rsidRPr="009B5E00">
        <w:rPr>
          <w:rFonts w:ascii="微軟正黑體" w:eastAsia="微軟正黑體" w:hAnsi="微軟正黑體"/>
          <w:sz w:val="28"/>
        </w:rPr>
        <w:t>提醒腎友副</w:t>
      </w:r>
      <w:proofErr w:type="gramEnd"/>
      <w:r w:rsidRPr="009B5E00">
        <w:rPr>
          <w:rFonts w:ascii="微軟正黑體" w:eastAsia="微軟正黑體" w:hAnsi="微軟正黑體"/>
          <w:sz w:val="28"/>
        </w:rPr>
        <w:t>甲狀腺機能亢進的重要性，</w:t>
      </w:r>
      <w:proofErr w:type="gramStart"/>
      <w:r w:rsidRPr="009B5E00">
        <w:rPr>
          <w:rFonts w:ascii="微軟正黑體" w:eastAsia="微軟正黑體" w:hAnsi="微軟正黑體"/>
          <w:sz w:val="28"/>
        </w:rPr>
        <w:t>讓腎友能</w:t>
      </w:r>
      <w:proofErr w:type="gramEnd"/>
      <w:r w:rsidRPr="009B5E00">
        <w:rPr>
          <w:rFonts w:ascii="微軟正黑體" w:eastAsia="微軟正黑體" w:hAnsi="微軟正黑體"/>
          <w:sz w:val="28"/>
        </w:rPr>
        <w:t>做到早期控制，</w:t>
      </w:r>
      <w:proofErr w:type="gramStart"/>
      <w:r w:rsidRPr="009B5E00">
        <w:rPr>
          <w:rFonts w:ascii="微軟正黑體" w:eastAsia="微軟正黑體" w:hAnsi="微軟正黑體"/>
          <w:sz w:val="28"/>
        </w:rPr>
        <w:t>活得更加</w:t>
      </w:r>
      <w:proofErr w:type="gramEnd"/>
      <w:r w:rsidRPr="009B5E00">
        <w:rPr>
          <w:rFonts w:ascii="微軟正黑體" w:eastAsia="微軟正黑體" w:hAnsi="微軟正黑體"/>
          <w:sz w:val="28"/>
        </w:rPr>
        <w:t>健康 !</w:t>
      </w:r>
    </w:p>
    <w:p w:rsidR="00E26256" w:rsidRPr="009B5E00" w:rsidRDefault="00E26256" w:rsidP="009B5E00">
      <w:pPr>
        <w:spacing w:beforeLines="50" w:before="180" w:line="600" w:lineRule="exact"/>
        <w:rPr>
          <w:rFonts w:ascii="微軟正黑體" w:eastAsia="微軟正黑體" w:hAnsi="微軟正黑體" w:cs="Times New Roman"/>
          <w:sz w:val="28"/>
          <w:szCs w:val="28"/>
          <w:lang w:eastAsia="en-US"/>
        </w:rPr>
      </w:pPr>
      <w:proofErr w:type="spellStart"/>
      <w:r w:rsidRPr="009B5E00">
        <w:rPr>
          <w:rFonts w:ascii="微軟正黑體" w:eastAsia="微軟正黑體" w:hAnsi="微軟正黑體"/>
          <w:sz w:val="28"/>
          <w:szCs w:val="28"/>
          <w:lang w:eastAsia="en-US"/>
        </w:rPr>
        <w:t>參考資料</w:t>
      </w:r>
      <w:proofErr w:type="spellEnd"/>
      <w:r w:rsidRPr="009B5E00">
        <w:rPr>
          <w:rFonts w:ascii="微軟正黑體" w:eastAsia="微軟正黑體" w:hAnsi="微軟正黑體"/>
          <w:sz w:val="28"/>
          <w:szCs w:val="28"/>
          <w:lang w:eastAsia="en-US"/>
        </w:rPr>
        <w:t>：</w:t>
      </w: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  <w:lang w:eastAsia="en-US"/>
        </w:rPr>
      </w:pP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  <w:lang w:eastAsia="en-US"/>
        </w:rPr>
      </w:pPr>
      <w:proofErr w:type="gramStart"/>
      <w:r w:rsidRPr="00E26256">
        <w:rPr>
          <w:lang w:eastAsia="en-US"/>
        </w:rPr>
        <w:t>1.Fauci</w:t>
      </w:r>
      <w:proofErr w:type="gramEnd"/>
      <w:r w:rsidRPr="00E26256">
        <w:rPr>
          <w:lang w:eastAsia="en-US"/>
        </w:rPr>
        <w:t xml:space="preserve">, A., Harrison, T., Hauser, S., Jameson, </w:t>
      </w:r>
      <w:r w:rsidRPr="00E26256">
        <w:rPr>
          <w:spacing w:val="7"/>
          <w:lang w:eastAsia="en-US"/>
        </w:rPr>
        <w:t>J.,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10"/>
          <w:lang w:eastAsia="en-US"/>
        </w:rPr>
        <w:t>Kasper,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9"/>
          <w:lang w:eastAsia="en-US"/>
        </w:rPr>
        <w:t>D.,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11"/>
          <w:lang w:eastAsia="en-US"/>
        </w:rPr>
        <w:t>Longo,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9"/>
          <w:lang w:eastAsia="en-US"/>
        </w:rPr>
        <w:t>D.,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14"/>
          <w:lang w:eastAsia="en-US"/>
        </w:rPr>
        <w:t>&amp;</w:t>
      </w:r>
      <w:r w:rsidRPr="00E26256">
        <w:rPr>
          <w:spacing w:val="6"/>
          <w:lang w:eastAsia="en-US"/>
        </w:rPr>
        <w:t xml:space="preserve"> </w:t>
      </w:r>
      <w:proofErr w:type="spellStart"/>
      <w:r w:rsidRPr="00E26256">
        <w:rPr>
          <w:spacing w:val="9"/>
          <w:lang w:eastAsia="en-US"/>
        </w:rPr>
        <w:t>Loscalzo</w:t>
      </w:r>
      <w:proofErr w:type="spellEnd"/>
      <w:r w:rsidRPr="00E26256">
        <w:rPr>
          <w:spacing w:val="9"/>
          <w:lang w:eastAsia="en-US"/>
        </w:rPr>
        <w:t>,</w:t>
      </w:r>
      <w:r w:rsidRPr="00E26256">
        <w:rPr>
          <w:spacing w:val="6"/>
          <w:lang w:eastAsia="en-US"/>
        </w:rPr>
        <w:t xml:space="preserve"> </w:t>
      </w:r>
      <w:r w:rsidRPr="00E26256">
        <w:rPr>
          <w:spacing w:val="11"/>
          <w:lang w:eastAsia="en-US"/>
        </w:rPr>
        <w:t>J.</w:t>
      </w:r>
      <w:r w:rsidRPr="00E26256">
        <w:rPr>
          <w:lang w:eastAsia="en-US"/>
        </w:rPr>
        <w:t xml:space="preserve"> </w:t>
      </w:r>
      <w:r w:rsidRPr="00E26256">
        <w:rPr>
          <w:spacing w:val="12"/>
          <w:lang w:eastAsia="en-US"/>
        </w:rPr>
        <w:t>(2015).</w:t>
      </w:r>
      <w:r w:rsidRPr="00E26256">
        <w:rPr>
          <w:spacing w:val="7"/>
          <w:lang w:eastAsia="en-US"/>
        </w:rPr>
        <w:t xml:space="preserve"> </w:t>
      </w:r>
      <w:proofErr w:type="gramStart"/>
      <w:r w:rsidRPr="00E26256">
        <w:rPr>
          <w:spacing w:val="12"/>
          <w:lang w:eastAsia="en-US"/>
        </w:rPr>
        <w:t>Harrison's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2"/>
          <w:lang w:eastAsia="en-US"/>
        </w:rPr>
        <w:t>Principles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1"/>
          <w:lang w:eastAsia="en-US"/>
        </w:rPr>
        <w:t>of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1"/>
          <w:lang w:eastAsia="en-US"/>
        </w:rPr>
        <w:t>internal</w:t>
      </w:r>
      <w:r w:rsidRPr="00E26256">
        <w:rPr>
          <w:lang w:eastAsia="en-US"/>
        </w:rPr>
        <w:t xml:space="preserve"> </w:t>
      </w:r>
      <w:r w:rsidRPr="00E26256">
        <w:rPr>
          <w:spacing w:val="11"/>
          <w:lang w:eastAsia="en-US"/>
        </w:rPr>
        <w:t>medicine.</w:t>
      </w:r>
      <w:proofErr w:type="gramEnd"/>
      <w:r w:rsidRPr="00E26256">
        <w:rPr>
          <w:spacing w:val="7"/>
          <w:lang w:eastAsia="en-US"/>
        </w:rPr>
        <w:t xml:space="preserve"> </w:t>
      </w:r>
      <w:r w:rsidRPr="00E26256">
        <w:rPr>
          <w:spacing w:val="18"/>
          <w:lang w:eastAsia="en-US"/>
        </w:rPr>
        <w:t>New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2"/>
          <w:lang w:eastAsia="en-US"/>
        </w:rPr>
        <w:t>York,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1"/>
          <w:lang w:eastAsia="en-US"/>
        </w:rPr>
        <w:t>N.Y.: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2"/>
          <w:lang w:eastAsia="en-US"/>
        </w:rPr>
        <w:t>McGraw-Hill</w:t>
      </w:r>
      <w:r w:rsidRPr="00E26256">
        <w:rPr>
          <w:lang w:eastAsia="en-US"/>
        </w:rPr>
        <w:t xml:space="preserve"> </w:t>
      </w:r>
      <w:r w:rsidRPr="00E26256">
        <w:rPr>
          <w:spacing w:val="2"/>
          <w:lang w:eastAsia="en-US"/>
        </w:rPr>
        <w:t>Me</w:t>
      </w:r>
      <w:r w:rsidRPr="00E26256">
        <w:rPr>
          <w:spacing w:val="1"/>
          <w:lang w:eastAsia="en-US"/>
        </w:rPr>
        <w:t>dical.</w:t>
      </w: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  <w:lang w:eastAsia="en-US"/>
        </w:rPr>
      </w:pPr>
      <w:proofErr w:type="gramStart"/>
      <w:r w:rsidRPr="00E26256">
        <w:rPr>
          <w:spacing w:val="18"/>
          <w:lang w:eastAsia="en-US"/>
        </w:rPr>
        <w:lastRenderedPageBreak/>
        <w:t>2.Johnson</w:t>
      </w:r>
      <w:proofErr w:type="gramEnd"/>
      <w:r w:rsidRPr="00E26256">
        <w:rPr>
          <w:spacing w:val="18"/>
          <w:lang w:eastAsia="en-US"/>
        </w:rPr>
        <w:t>,</w:t>
      </w:r>
      <w:r w:rsidRPr="00E26256">
        <w:rPr>
          <w:spacing w:val="10"/>
          <w:lang w:eastAsia="en-US"/>
        </w:rPr>
        <w:t xml:space="preserve"> </w:t>
      </w:r>
      <w:r w:rsidRPr="00E26256">
        <w:rPr>
          <w:spacing w:val="16"/>
          <w:lang w:eastAsia="en-US"/>
        </w:rPr>
        <w:t>R.,</w:t>
      </w:r>
      <w:r w:rsidRPr="00E26256">
        <w:rPr>
          <w:spacing w:val="11"/>
          <w:lang w:eastAsia="en-US"/>
        </w:rPr>
        <w:t xml:space="preserve"> </w:t>
      </w:r>
      <w:proofErr w:type="spellStart"/>
      <w:r w:rsidRPr="00E26256">
        <w:rPr>
          <w:spacing w:val="17"/>
          <w:lang w:eastAsia="en-US"/>
        </w:rPr>
        <w:t>Feehally</w:t>
      </w:r>
      <w:proofErr w:type="spellEnd"/>
      <w:r w:rsidRPr="00E26256">
        <w:rPr>
          <w:spacing w:val="17"/>
          <w:lang w:eastAsia="en-US"/>
        </w:rPr>
        <w:t>,</w:t>
      </w:r>
      <w:r w:rsidRPr="00E26256">
        <w:rPr>
          <w:spacing w:val="10"/>
          <w:lang w:eastAsia="en-US"/>
        </w:rPr>
        <w:t xml:space="preserve"> </w:t>
      </w:r>
      <w:r w:rsidRPr="00E26256">
        <w:rPr>
          <w:spacing w:val="13"/>
          <w:lang w:eastAsia="en-US"/>
        </w:rPr>
        <w:t>J.,</w:t>
      </w:r>
      <w:r w:rsidRPr="00E26256">
        <w:rPr>
          <w:spacing w:val="11"/>
          <w:lang w:eastAsia="en-US"/>
        </w:rPr>
        <w:t xml:space="preserve"> </w:t>
      </w:r>
      <w:r w:rsidRPr="00E26256">
        <w:rPr>
          <w:spacing w:val="25"/>
          <w:lang w:eastAsia="en-US"/>
        </w:rPr>
        <w:t>&amp;</w:t>
      </w:r>
      <w:r w:rsidRPr="00E26256">
        <w:rPr>
          <w:spacing w:val="10"/>
          <w:lang w:eastAsia="en-US"/>
        </w:rPr>
        <w:t xml:space="preserve"> </w:t>
      </w:r>
      <w:proofErr w:type="spellStart"/>
      <w:r w:rsidRPr="00E26256">
        <w:rPr>
          <w:spacing w:val="17"/>
          <w:lang w:eastAsia="en-US"/>
        </w:rPr>
        <w:t>Flöge</w:t>
      </w:r>
      <w:proofErr w:type="spellEnd"/>
      <w:r w:rsidRPr="00E26256">
        <w:rPr>
          <w:spacing w:val="17"/>
          <w:lang w:eastAsia="en-US"/>
        </w:rPr>
        <w:t>,</w:t>
      </w:r>
      <w:r w:rsidRPr="00E26256">
        <w:rPr>
          <w:spacing w:val="11"/>
          <w:lang w:eastAsia="en-US"/>
        </w:rPr>
        <w:t xml:space="preserve"> </w:t>
      </w:r>
      <w:r w:rsidRPr="00E26256">
        <w:rPr>
          <w:spacing w:val="15"/>
          <w:lang w:eastAsia="en-US"/>
        </w:rPr>
        <w:t>J.</w:t>
      </w:r>
      <w:r w:rsidRPr="00E26256">
        <w:rPr>
          <w:lang w:eastAsia="en-US"/>
        </w:rPr>
        <w:t xml:space="preserve"> </w:t>
      </w:r>
      <w:r w:rsidRPr="00E26256">
        <w:rPr>
          <w:spacing w:val="2"/>
          <w:lang w:eastAsia="en-US"/>
        </w:rPr>
        <w:t>(2015).</w:t>
      </w:r>
      <w:r w:rsidRPr="00E26256">
        <w:rPr>
          <w:spacing w:val="4"/>
          <w:lang w:eastAsia="en-US"/>
        </w:rPr>
        <w:t xml:space="preserve"> </w:t>
      </w:r>
      <w:proofErr w:type="gramStart"/>
      <w:r w:rsidRPr="00E26256">
        <w:rPr>
          <w:spacing w:val="2"/>
          <w:lang w:eastAsia="en-US"/>
        </w:rPr>
        <w:t>Comprehensive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3"/>
          <w:lang w:eastAsia="en-US"/>
        </w:rPr>
        <w:t>clinical</w:t>
      </w:r>
      <w:r w:rsidRPr="00E26256">
        <w:rPr>
          <w:spacing w:val="4"/>
          <w:lang w:eastAsia="en-US"/>
        </w:rPr>
        <w:t xml:space="preserve"> </w:t>
      </w:r>
      <w:r w:rsidRPr="00E26256">
        <w:rPr>
          <w:spacing w:val="2"/>
          <w:lang w:eastAsia="en-US"/>
        </w:rPr>
        <w:t>nephrology.</w:t>
      </w:r>
      <w:proofErr w:type="gramEnd"/>
      <w:r w:rsidRPr="00E26256">
        <w:rPr>
          <w:lang w:eastAsia="en-US"/>
        </w:rPr>
        <w:t xml:space="preserve"> Philadelphia:</w:t>
      </w:r>
      <w:r w:rsidRPr="00E26256">
        <w:rPr>
          <w:spacing w:val="10"/>
          <w:lang w:eastAsia="en-US"/>
        </w:rPr>
        <w:t xml:space="preserve"> </w:t>
      </w:r>
      <w:r w:rsidRPr="00E26256">
        <w:rPr>
          <w:lang w:eastAsia="en-US"/>
        </w:rPr>
        <w:t>Elsevier</w:t>
      </w:r>
      <w:r w:rsidRPr="00E26256">
        <w:rPr>
          <w:spacing w:val="10"/>
          <w:lang w:eastAsia="en-US"/>
        </w:rPr>
        <w:t xml:space="preserve"> </w:t>
      </w:r>
      <w:r w:rsidRPr="00E26256">
        <w:rPr>
          <w:lang w:eastAsia="en-US"/>
        </w:rPr>
        <w:t>Saunders.</w:t>
      </w: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  <w:lang w:eastAsia="en-US"/>
        </w:rPr>
      </w:pPr>
      <w:proofErr w:type="gramStart"/>
      <w:r w:rsidRPr="00E26256">
        <w:rPr>
          <w:spacing w:val="7"/>
          <w:lang w:eastAsia="en-US"/>
        </w:rPr>
        <w:t>3.Kalantar</w:t>
      </w:r>
      <w:proofErr w:type="gramEnd"/>
      <w:r w:rsidRPr="00E26256">
        <w:rPr>
          <w:spacing w:val="7"/>
          <w:lang w:eastAsia="en-US"/>
        </w:rPr>
        <w:t>-Zadeh,</w:t>
      </w:r>
      <w:r w:rsidRPr="00E26256">
        <w:rPr>
          <w:spacing w:val="4"/>
          <w:lang w:eastAsia="en-US"/>
        </w:rPr>
        <w:t xml:space="preserve"> </w:t>
      </w:r>
      <w:r w:rsidRPr="00E26256">
        <w:rPr>
          <w:spacing w:val="6"/>
          <w:lang w:eastAsia="en-US"/>
        </w:rPr>
        <w:t>K.,</w:t>
      </w:r>
      <w:r w:rsidRPr="00E26256">
        <w:rPr>
          <w:spacing w:val="4"/>
          <w:lang w:eastAsia="en-US"/>
        </w:rPr>
        <w:t xml:space="preserve"> </w:t>
      </w:r>
      <w:r w:rsidRPr="00E26256">
        <w:rPr>
          <w:spacing w:val="12"/>
          <w:lang w:eastAsia="en-US"/>
        </w:rPr>
        <w:t>&amp;</w:t>
      </w:r>
      <w:r w:rsidRPr="00E26256">
        <w:rPr>
          <w:spacing w:val="5"/>
          <w:lang w:eastAsia="en-US"/>
        </w:rPr>
        <w:t xml:space="preserve"> </w:t>
      </w:r>
      <w:proofErr w:type="spellStart"/>
      <w:r w:rsidRPr="00E26256">
        <w:rPr>
          <w:spacing w:val="8"/>
          <w:lang w:eastAsia="en-US"/>
        </w:rPr>
        <w:t>Fouque</w:t>
      </w:r>
      <w:proofErr w:type="spellEnd"/>
      <w:r w:rsidRPr="00E26256">
        <w:rPr>
          <w:spacing w:val="8"/>
          <w:lang w:eastAsia="en-US"/>
        </w:rPr>
        <w:t>,</w:t>
      </w:r>
      <w:r w:rsidRPr="00E26256">
        <w:rPr>
          <w:spacing w:val="4"/>
          <w:lang w:eastAsia="en-US"/>
        </w:rPr>
        <w:t xml:space="preserve"> </w:t>
      </w:r>
      <w:r w:rsidRPr="00E26256">
        <w:rPr>
          <w:spacing w:val="7"/>
          <w:lang w:eastAsia="en-US"/>
        </w:rPr>
        <w:t>D.</w:t>
      </w:r>
      <w:r w:rsidRPr="00E26256">
        <w:rPr>
          <w:spacing w:val="4"/>
          <w:lang w:eastAsia="en-US"/>
        </w:rPr>
        <w:t xml:space="preserve"> </w:t>
      </w:r>
      <w:r w:rsidRPr="00E26256">
        <w:rPr>
          <w:spacing w:val="7"/>
          <w:lang w:eastAsia="en-US"/>
        </w:rPr>
        <w:t>(2017).</w:t>
      </w:r>
      <w:r w:rsidRPr="00E26256">
        <w:rPr>
          <w:lang w:eastAsia="en-US"/>
        </w:rPr>
        <w:t xml:space="preserve"> </w:t>
      </w:r>
      <w:proofErr w:type="gramStart"/>
      <w:r w:rsidRPr="00E26256">
        <w:rPr>
          <w:spacing w:val="3"/>
          <w:lang w:eastAsia="en-US"/>
        </w:rPr>
        <w:t>Nutritional</w:t>
      </w:r>
      <w:r w:rsidRPr="00E26256">
        <w:rPr>
          <w:spacing w:val="2"/>
          <w:lang w:eastAsia="en-US"/>
        </w:rPr>
        <w:t xml:space="preserve"> </w:t>
      </w:r>
      <w:r w:rsidRPr="00E26256">
        <w:rPr>
          <w:spacing w:val="6"/>
          <w:lang w:eastAsia="en-US"/>
        </w:rPr>
        <w:t>Management</w:t>
      </w:r>
      <w:r w:rsidRPr="00E26256">
        <w:rPr>
          <w:spacing w:val="3"/>
          <w:lang w:eastAsia="en-US"/>
        </w:rPr>
        <w:t xml:space="preserve"> </w:t>
      </w:r>
      <w:r w:rsidRPr="00E26256">
        <w:rPr>
          <w:spacing w:val="6"/>
          <w:lang w:eastAsia="en-US"/>
        </w:rPr>
        <w:t>of</w:t>
      </w:r>
      <w:r w:rsidRPr="00E26256">
        <w:rPr>
          <w:spacing w:val="3"/>
          <w:lang w:eastAsia="en-US"/>
        </w:rPr>
        <w:t xml:space="preserve"> </w:t>
      </w:r>
      <w:r w:rsidRPr="00E26256">
        <w:rPr>
          <w:spacing w:val="4"/>
          <w:lang w:eastAsia="en-US"/>
        </w:rPr>
        <w:t>Chronic</w:t>
      </w:r>
      <w:r w:rsidRPr="00E26256">
        <w:rPr>
          <w:spacing w:val="2"/>
          <w:lang w:eastAsia="en-US"/>
        </w:rPr>
        <w:t xml:space="preserve"> </w:t>
      </w:r>
      <w:r w:rsidRPr="00E26256">
        <w:rPr>
          <w:spacing w:val="6"/>
          <w:lang w:eastAsia="en-US"/>
        </w:rPr>
        <w:t>Kidney</w:t>
      </w:r>
      <w:r w:rsidRPr="00E26256">
        <w:rPr>
          <w:lang w:eastAsia="en-US"/>
        </w:rPr>
        <w:t xml:space="preserve"> Disease.</w:t>
      </w:r>
      <w:proofErr w:type="gramEnd"/>
      <w:r w:rsidRPr="00E26256">
        <w:rPr>
          <w:spacing w:val="8"/>
          <w:lang w:eastAsia="en-US"/>
        </w:rPr>
        <w:t xml:space="preserve"> </w:t>
      </w:r>
      <w:r w:rsidRPr="00E26256">
        <w:rPr>
          <w:lang w:eastAsia="en-US"/>
        </w:rPr>
        <w:t>New</w:t>
      </w:r>
      <w:r w:rsidRPr="00E26256">
        <w:rPr>
          <w:spacing w:val="8"/>
          <w:lang w:eastAsia="en-US"/>
        </w:rPr>
        <w:t xml:space="preserve"> </w:t>
      </w:r>
      <w:r w:rsidRPr="00E26256">
        <w:rPr>
          <w:lang w:eastAsia="en-US"/>
        </w:rPr>
        <w:t>England</w:t>
      </w:r>
      <w:r w:rsidRPr="00E26256">
        <w:rPr>
          <w:spacing w:val="8"/>
          <w:lang w:eastAsia="en-US"/>
        </w:rPr>
        <w:t xml:space="preserve"> </w:t>
      </w:r>
      <w:r w:rsidRPr="00E26256">
        <w:rPr>
          <w:lang w:eastAsia="en-US"/>
        </w:rPr>
        <w:t>Journal</w:t>
      </w:r>
      <w:r w:rsidRPr="00E26256">
        <w:rPr>
          <w:spacing w:val="8"/>
          <w:lang w:eastAsia="en-US"/>
        </w:rPr>
        <w:t xml:space="preserve"> </w:t>
      </w:r>
      <w:proofErr w:type="gramStart"/>
      <w:r w:rsidRPr="00E26256">
        <w:rPr>
          <w:lang w:eastAsia="en-US"/>
        </w:rPr>
        <w:t>Of</w:t>
      </w:r>
      <w:proofErr w:type="gramEnd"/>
      <w:r w:rsidRPr="00E26256">
        <w:rPr>
          <w:spacing w:val="8"/>
          <w:lang w:eastAsia="en-US"/>
        </w:rPr>
        <w:t xml:space="preserve"> </w:t>
      </w:r>
      <w:r w:rsidRPr="00E26256">
        <w:rPr>
          <w:lang w:eastAsia="en-US"/>
        </w:rPr>
        <w:t xml:space="preserve">Medicine, </w:t>
      </w:r>
      <w:r w:rsidRPr="00E26256">
        <w:rPr>
          <w:spacing w:val="-2"/>
          <w:lang w:eastAsia="en-US"/>
        </w:rPr>
        <w:t>377(18),</w:t>
      </w:r>
      <w:r w:rsidRPr="00E26256">
        <w:rPr>
          <w:lang w:eastAsia="en-US"/>
        </w:rPr>
        <w:t xml:space="preserve"> </w:t>
      </w:r>
      <w:r w:rsidRPr="00E26256">
        <w:rPr>
          <w:spacing w:val="-3"/>
          <w:lang w:eastAsia="en-US"/>
        </w:rPr>
        <w:t>1765-1776.</w:t>
      </w: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  <w:lang w:eastAsia="en-US"/>
        </w:rPr>
      </w:pPr>
      <w:proofErr w:type="gramStart"/>
      <w:r w:rsidRPr="00E26256">
        <w:rPr>
          <w:spacing w:val="12"/>
          <w:lang w:eastAsia="en-US"/>
        </w:rPr>
        <w:t>4.KDIGO</w:t>
      </w:r>
      <w:proofErr w:type="gramEnd"/>
      <w:r w:rsidRPr="00E26256">
        <w:rPr>
          <w:spacing w:val="8"/>
          <w:lang w:eastAsia="en-US"/>
        </w:rPr>
        <w:t xml:space="preserve"> </w:t>
      </w:r>
      <w:r w:rsidRPr="00E26256">
        <w:rPr>
          <w:spacing w:val="13"/>
          <w:lang w:eastAsia="en-US"/>
        </w:rPr>
        <w:t>2017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9"/>
          <w:lang w:eastAsia="en-US"/>
        </w:rPr>
        <w:t>Clinical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0"/>
          <w:lang w:eastAsia="en-US"/>
        </w:rPr>
        <w:t>Practice</w:t>
      </w:r>
      <w:r w:rsidRPr="00E26256">
        <w:rPr>
          <w:spacing w:val="8"/>
          <w:lang w:eastAsia="en-US"/>
        </w:rPr>
        <w:t xml:space="preserve"> </w:t>
      </w:r>
      <w:r w:rsidRPr="00E26256">
        <w:rPr>
          <w:spacing w:val="10"/>
          <w:lang w:eastAsia="en-US"/>
        </w:rPr>
        <w:t>Guideline</w:t>
      </w:r>
      <w:r w:rsidRPr="00E26256">
        <w:rPr>
          <w:lang w:eastAsia="en-US"/>
        </w:rPr>
        <w:t xml:space="preserve"> </w:t>
      </w:r>
      <w:r w:rsidRPr="00E26256">
        <w:rPr>
          <w:spacing w:val="19"/>
          <w:lang w:eastAsia="en-US"/>
        </w:rPr>
        <w:t>Update</w:t>
      </w:r>
      <w:r w:rsidRPr="00E26256">
        <w:rPr>
          <w:spacing w:val="12"/>
          <w:lang w:eastAsia="en-US"/>
        </w:rPr>
        <w:t xml:space="preserve"> </w:t>
      </w:r>
      <w:r w:rsidRPr="00E26256">
        <w:rPr>
          <w:spacing w:val="14"/>
          <w:lang w:eastAsia="en-US"/>
        </w:rPr>
        <w:t>for</w:t>
      </w:r>
      <w:r w:rsidRPr="00E26256">
        <w:rPr>
          <w:spacing w:val="12"/>
          <w:lang w:eastAsia="en-US"/>
        </w:rPr>
        <w:t xml:space="preserve"> </w:t>
      </w:r>
      <w:r w:rsidRPr="00E26256">
        <w:rPr>
          <w:spacing w:val="16"/>
          <w:lang w:eastAsia="en-US"/>
        </w:rPr>
        <w:t>the</w:t>
      </w:r>
      <w:r w:rsidRPr="00E26256">
        <w:rPr>
          <w:spacing w:val="13"/>
          <w:lang w:eastAsia="en-US"/>
        </w:rPr>
        <w:t xml:space="preserve"> </w:t>
      </w:r>
      <w:r w:rsidRPr="00E26256">
        <w:rPr>
          <w:spacing w:val="16"/>
          <w:lang w:eastAsia="en-US"/>
        </w:rPr>
        <w:t>Diagnosis,</w:t>
      </w:r>
      <w:r w:rsidRPr="00E26256">
        <w:rPr>
          <w:spacing w:val="12"/>
          <w:lang w:eastAsia="en-US"/>
        </w:rPr>
        <w:t xml:space="preserve"> </w:t>
      </w:r>
      <w:r w:rsidRPr="00E26256">
        <w:rPr>
          <w:spacing w:val="16"/>
          <w:lang w:eastAsia="en-US"/>
        </w:rPr>
        <w:t>Evaluation,</w:t>
      </w:r>
      <w:r w:rsidRPr="00E26256">
        <w:rPr>
          <w:lang w:eastAsia="en-US"/>
        </w:rPr>
        <w:t xml:space="preserve"> </w:t>
      </w:r>
      <w:r w:rsidRPr="00E26256">
        <w:rPr>
          <w:spacing w:val="15"/>
          <w:lang w:eastAsia="en-US"/>
        </w:rPr>
        <w:t>Prevention,</w:t>
      </w:r>
      <w:r w:rsidRPr="00E26256">
        <w:rPr>
          <w:spacing w:val="10"/>
          <w:lang w:eastAsia="en-US"/>
        </w:rPr>
        <w:t xml:space="preserve"> </w:t>
      </w:r>
      <w:r w:rsidRPr="00E26256">
        <w:rPr>
          <w:spacing w:val="20"/>
          <w:lang w:eastAsia="en-US"/>
        </w:rPr>
        <w:t>and</w:t>
      </w:r>
      <w:r w:rsidRPr="00E26256">
        <w:rPr>
          <w:spacing w:val="11"/>
          <w:lang w:eastAsia="en-US"/>
        </w:rPr>
        <w:t xml:space="preserve"> </w:t>
      </w:r>
      <w:r w:rsidRPr="00E26256">
        <w:rPr>
          <w:spacing w:val="17"/>
          <w:lang w:eastAsia="en-US"/>
        </w:rPr>
        <w:t>Treatment</w:t>
      </w:r>
      <w:r w:rsidRPr="00E26256">
        <w:rPr>
          <w:spacing w:val="10"/>
          <w:lang w:eastAsia="en-US"/>
        </w:rPr>
        <w:t xml:space="preserve"> </w:t>
      </w:r>
      <w:r w:rsidRPr="00E26256">
        <w:rPr>
          <w:spacing w:val="14"/>
          <w:lang w:eastAsia="en-US"/>
        </w:rPr>
        <w:t>of</w:t>
      </w:r>
      <w:r w:rsidRPr="00E26256">
        <w:rPr>
          <w:spacing w:val="11"/>
          <w:lang w:eastAsia="en-US"/>
        </w:rPr>
        <w:t xml:space="preserve"> </w:t>
      </w:r>
      <w:r w:rsidRPr="00E26256">
        <w:rPr>
          <w:spacing w:val="16"/>
          <w:lang w:eastAsia="en-US"/>
        </w:rPr>
        <w:t>Chronic</w:t>
      </w:r>
      <w:r w:rsidRPr="00E26256">
        <w:rPr>
          <w:lang w:eastAsia="en-US"/>
        </w:rPr>
        <w:t xml:space="preserve"> </w:t>
      </w:r>
      <w:r w:rsidRPr="00E26256">
        <w:rPr>
          <w:spacing w:val="1"/>
          <w:lang w:eastAsia="en-US"/>
        </w:rPr>
        <w:t>Kidney</w:t>
      </w:r>
      <w:r w:rsidRPr="00E26256">
        <w:rPr>
          <w:spacing w:val="2"/>
          <w:lang w:eastAsia="en-US"/>
        </w:rPr>
        <w:t xml:space="preserve"> Disease–Mineral</w:t>
      </w:r>
      <w:r w:rsidRPr="00E26256">
        <w:rPr>
          <w:spacing w:val="3"/>
          <w:lang w:eastAsia="en-US"/>
        </w:rPr>
        <w:t xml:space="preserve"> </w:t>
      </w:r>
      <w:r w:rsidRPr="00E26256">
        <w:rPr>
          <w:spacing w:val="2"/>
          <w:lang w:eastAsia="en-US"/>
        </w:rPr>
        <w:t>and</w:t>
      </w:r>
      <w:r w:rsidRPr="00E26256">
        <w:rPr>
          <w:spacing w:val="3"/>
          <w:lang w:eastAsia="en-US"/>
        </w:rPr>
        <w:t xml:space="preserve"> </w:t>
      </w:r>
      <w:r w:rsidRPr="00E26256">
        <w:rPr>
          <w:spacing w:val="2"/>
          <w:lang w:eastAsia="en-US"/>
        </w:rPr>
        <w:t>Bone</w:t>
      </w:r>
      <w:r w:rsidRPr="00E26256">
        <w:rPr>
          <w:spacing w:val="3"/>
          <w:lang w:eastAsia="en-US"/>
        </w:rPr>
        <w:t xml:space="preserve"> </w:t>
      </w:r>
      <w:r w:rsidRPr="00E26256">
        <w:rPr>
          <w:spacing w:val="1"/>
          <w:lang w:eastAsia="en-US"/>
        </w:rPr>
        <w:t>Disorder</w:t>
      </w:r>
      <w:r w:rsidRPr="00E26256">
        <w:rPr>
          <w:lang w:eastAsia="en-US"/>
        </w:rPr>
        <w:t xml:space="preserve"> </w:t>
      </w:r>
      <w:r w:rsidRPr="00E26256">
        <w:rPr>
          <w:spacing w:val="8"/>
          <w:lang w:eastAsia="en-US"/>
        </w:rPr>
        <w:t>(CKD-MBD).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8"/>
          <w:lang w:eastAsia="en-US"/>
        </w:rPr>
        <w:t>(2017).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8"/>
          <w:lang w:eastAsia="en-US"/>
        </w:rPr>
        <w:t>Kidney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7"/>
          <w:lang w:eastAsia="en-US"/>
        </w:rPr>
        <w:t>International</w:t>
      </w:r>
      <w:r w:rsidRPr="00E26256">
        <w:rPr>
          <w:lang w:eastAsia="en-US"/>
        </w:rPr>
        <w:t xml:space="preserve"> Supplements, 7(1),</w:t>
      </w:r>
      <w:r w:rsidRPr="00E26256">
        <w:rPr>
          <w:spacing w:val="-14"/>
          <w:lang w:eastAsia="en-US"/>
        </w:rPr>
        <w:t xml:space="preserve"> </w:t>
      </w:r>
      <w:r w:rsidRPr="00E26256">
        <w:rPr>
          <w:lang w:eastAsia="en-US"/>
        </w:rPr>
        <w:t>1-59.</w:t>
      </w:r>
    </w:p>
    <w:p w:rsidR="00E26256" w:rsidRPr="00E26256" w:rsidRDefault="00E26256" w:rsidP="00E26256">
      <w:pPr>
        <w:rPr>
          <w:rFonts w:ascii="Cambria" w:eastAsia="新細明體" w:hAnsi="Cambria" w:cs="Times New Roman"/>
          <w:szCs w:val="24"/>
        </w:rPr>
      </w:pPr>
      <w:proofErr w:type="gramStart"/>
      <w:r w:rsidRPr="00E26256">
        <w:rPr>
          <w:spacing w:val="21"/>
          <w:lang w:eastAsia="en-US"/>
        </w:rPr>
        <w:t>5.Schrier</w:t>
      </w:r>
      <w:proofErr w:type="gramEnd"/>
      <w:r w:rsidRPr="00E26256">
        <w:rPr>
          <w:spacing w:val="21"/>
          <w:lang w:eastAsia="en-US"/>
        </w:rPr>
        <w:t>,</w:t>
      </w:r>
      <w:r w:rsidRPr="00E26256">
        <w:rPr>
          <w:spacing w:val="13"/>
          <w:lang w:eastAsia="en-US"/>
        </w:rPr>
        <w:t xml:space="preserve"> </w:t>
      </w:r>
      <w:r w:rsidRPr="00E26256">
        <w:rPr>
          <w:spacing w:val="21"/>
          <w:lang w:eastAsia="en-US"/>
        </w:rPr>
        <w:t>R.,</w:t>
      </w:r>
      <w:r w:rsidRPr="00E26256">
        <w:rPr>
          <w:spacing w:val="14"/>
          <w:lang w:eastAsia="en-US"/>
        </w:rPr>
        <w:t xml:space="preserve"> </w:t>
      </w:r>
      <w:r w:rsidRPr="00E26256">
        <w:rPr>
          <w:spacing w:val="25"/>
          <w:lang w:eastAsia="en-US"/>
        </w:rPr>
        <w:t>Coffman,</w:t>
      </w:r>
      <w:r w:rsidRPr="00E26256">
        <w:rPr>
          <w:spacing w:val="14"/>
          <w:lang w:eastAsia="en-US"/>
        </w:rPr>
        <w:t xml:space="preserve"> </w:t>
      </w:r>
      <w:r w:rsidRPr="00E26256">
        <w:rPr>
          <w:spacing w:val="19"/>
          <w:lang w:eastAsia="en-US"/>
        </w:rPr>
        <w:t>T.,</w:t>
      </w:r>
      <w:r w:rsidRPr="00E26256">
        <w:rPr>
          <w:spacing w:val="14"/>
          <w:lang w:eastAsia="en-US"/>
        </w:rPr>
        <w:t xml:space="preserve"> </w:t>
      </w:r>
      <w:r w:rsidRPr="00E26256">
        <w:rPr>
          <w:spacing w:val="33"/>
          <w:lang w:eastAsia="en-US"/>
        </w:rPr>
        <w:t>&amp;</w:t>
      </w:r>
      <w:r w:rsidRPr="00E26256">
        <w:rPr>
          <w:spacing w:val="14"/>
          <w:lang w:eastAsia="en-US"/>
        </w:rPr>
        <w:t xml:space="preserve"> </w:t>
      </w:r>
      <w:r w:rsidRPr="00E26256">
        <w:rPr>
          <w:spacing w:val="21"/>
          <w:lang w:eastAsia="en-US"/>
        </w:rPr>
        <w:t>Falk,</w:t>
      </w:r>
      <w:r w:rsidRPr="00E26256">
        <w:rPr>
          <w:spacing w:val="14"/>
          <w:lang w:eastAsia="en-US"/>
        </w:rPr>
        <w:t xml:space="preserve"> </w:t>
      </w:r>
      <w:r w:rsidRPr="00E26256">
        <w:rPr>
          <w:spacing w:val="25"/>
          <w:lang w:eastAsia="en-US"/>
        </w:rPr>
        <w:t>R.</w:t>
      </w:r>
      <w:r w:rsidRPr="00E26256">
        <w:rPr>
          <w:lang w:eastAsia="en-US"/>
        </w:rPr>
        <w:t xml:space="preserve"> </w:t>
      </w:r>
      <w:r w:rsidRPr="00E26256">
        <w:rPr>
          <w:spacing w:val="7"/>
          <w:lang w:eastAsia="en-US"/>
        </w:rPr>
        <w:t>(2012).</w:t>
      </w:r>
      <w:r w:rsidRPr="00E26256">
        <w:rPr>
          <w:spacing w:val="4"/>
          <w:lang w:eastAsia="en-US"/>
        </w:rPr>
        <w:t xml:space="preserve"> </w:t>
      </w:r>
      <w:proofErr w:type="spellStart"/>
      <w:proofErr w:type="gramStart"/>
      <w:r w:rsidRPr="00E26256">
        <w:rPr>
          <w:spacing w:val="7"/>
          <w:lang w:eastAsia="en-US"/>
        </w:rPr>
        <w:t>Schrier's</w:t>
      </w:r>
      <w:proofErr w:type="spellEnd"/>
      <w:r w:rsidRPr="00E26256">
        <w:rPr>
          <w:spacing w:val="5"/>
          <w:lang w:eastAsia="en-US"/>
        </w:rPr>
        <w:t xml:space="preserve"> </w:t>
      </w:r>
      <w:r w:rsidRPr="00E26256">
        <w:rPr>
          <w:spacing w:val="9"/>
          <w:lang w:eastAsia="en-US"/>
        </w:rPr>
        <w:t>Diseases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9"/>
          <w:lang w:eastAsia="en-US"/>
        </w:rPr>
        <w:t>of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8"/>
          <w:lang w:eastAsia="en-US"/>
        </w:rPr>
        <w:t>the</w:t>
      </w:r>
      <w:r w:rsidRPr="00E26256">
        <w:rPr>
          <w:spacing w:val="5"/>
          <w:lang w:eastAsia="en-US"/>
        </w:rPr>
        <w:t xml:space="preserve"> </w:t>
      </w:r>
      <w:r w:rsidRPr="00E26256">
        <w:rPr>
          <w:spacing w:val="8"/>
          <w:lang w:eastAsia="en-US"/>
        </w:rPr>
        <w:t>Kidney.</w:t>
      </w:r>
      <w:proofErr w:type="gramEnd"/>
      <w:r w:rsidRPr="00E26256">
        <w:rPr>
          <w:lang w:eastAsia="en-US"/>
        </w:rPr>
        <w:t xml:space="preserve"> </w:t>
      </w:r>
      <w:r w:rsidRPr="00E26256">
        <w:t>Philadelphia:</w:t>
      </w:r>
      <w:r w:rsidRPr="00E26256">
        <w:rPr>
          <w:spacing w:val="8"/>
        </w:rPr>
        <w:t xml:space="preserve"> </w:t>
      </w:r>
      <w:r w:rsidRPr="00E26256">
        <w:t>Wolters</w:t>
      </w:r>
      <w:r w:rsidRPr="00E26256">
        <w:rPr>
          <w:spacing w:val="8"/>
        </w:rPr>
        <w:t xml:space="preserve"> </w:t>
      </w:r>
      <w:r w:rsidRPr="00E26256">
        <w:t>Kluwer</w:t>
      </w:r>
      <w:r w:rsidRPr="00E26256">
        <w:rPr>
          <w:spacing w:val="9"/>
        </w:rPr>
        <w:t xml:space="preserve"> </w:t>
      </w:r>
      <w:r w:rsidRPr="00E26256">
        <w:t>Health.</w:t>
      </w:r>
    </w:p>
    <w:p w:rsidR="00591F4F" w:rsidRPr="00E26256" w:rsidRDefault="00591F4F" w:rsidP="00E26256"/>
    <w:sectPr w:rsidR="00591F4F" w:rsidRPr="00E26256" w:rsidSect="00E2625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46" w:rsidRDefault="008F4946" w:rsidP="00C73B90">
      <w:r>
        <w:separator/>
      </w:r>
    </w:p>
  </w:endnote>
  <w:endnote w:type="continuationSeparator" w:id="0">
    <w:p w:rsidR="008F4946" w:rsidRDefault="008F4946" w:rsidP="00C7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46" w:rsidRDefault="008F4946" w:rsidP="00C73B90">
      <w:r>
        <w:separator/>
      </w:r>
    </w:p>
  </w:footnote>
  <w:footnote w:type="continuationSeparator" w:id="0">
    <w:p w:rsidR="008F4946" w:rsidRDefault="008F4946" w:rsidP="00C7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56"/>
    <w:rsid w:val="00054195"/>
    <w:rsid w:val="001B2CBF"/>
    <w:rsid w:val="00393711"/>
    <w:rsid w:val="00413A26"/>
    <w:rsid w:val="00591F4F"/>
    <w:rsid w:val="00654E15"/>
    <w:rsid w:val="008F4946"/>
    <w:rsid w:val="009B5E00"/>
    <w:rsid w:val="00A40D9B"/>
    <w:rsid w:val="00B47FD2"/>
    <w:rsid w:val="00C73B90"/>
    <w:rsid w:val="00E26256"/>
    <w:rsid w:val="00E81ACF"/>
    <w:rsid w:val="00E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B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B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457</Words>
  <Characters>2609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11</cp:revision>
  <dcterms:created xsi:type="dcterms:W3CDTF">2018-12-18T03:45:00Z</dcterms:created>
  <dcterms:modified xsi:type="dcterms:W3CDTF">2018-12-18T08:56:00Z</dcterms:modified>
</cp:coreProperties>
</file>