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46F" w:rsidRDefault="00CE546F" w:rsidP="00CE546F">
      <w:pPr>
        <w:autoSpaceDE w:val="0"/>
        <w:autoSpaceDN w:val="0"/>
        <w:adjustRightInd w:val="0"/>
        <w:snapToGrid w:val="0"/>
        <w:ind w:leftChars="300" w:left="720"/>
        <w:rPr>
          <w:rFonts w:ascii="微軟正黑體" w:eastAsia="微軟正黑體" w:hAnsi="微軟正黑體" w:cs="Arial Unicode MS" w:hint="eastAsia"/>
          <w:b/>
          <w:color w:val="008080"/>
          <w:kern w:val="0"/>
          <w:sz w:val="48"/>
          <w:szCs w:val="48"/>
        </w:rPr>
      </w:pPr>
      <w:r w:rsidRPr="00CE546F">
        <w:rPr>
          <w:rFonts w:ascii="微軟正黑體" w:eastAsia="微軟正黑體" w:hAnsi="微軟正黑體" w:cs="Arial Unicode MS"/>
          <w:noProof/>
          <w:color w:val="231F1F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E30665" wp14:editId="7079048A">
                <wp:simplePos x="0" y="0"/>
                <wp:positionH relativeFrom="column">
                  <wp:posOffset>4206875</wp:posOffset>
                </wp:positionH>
                <wp:positionV relativeFrom="paragraph">
                  <wp:posOffset>76835</wp:posOffset>
                </wp:positionV>
                <wp:extent cx="1828800" cy="174498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744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546F" w:rsidRDefault="00CE546F">
                            <w:r w:rsidRPr="00CE546F">
                              <w:drawing>
                                <wp:inline distT="0" distB="0" distL="0" distR="0">
                                  <wp:extent cx="1531620" cy="1668780"/>
                                  <wp:effectExtent l="0" t="0" r="0" b="7620"/>
                                  <wp:docPr id="8" name="圖片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1620" cy="166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1.25pt;margin-top:6.05pt;width:2in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" filled="f" stroked="f">
                <v:textbox>
                  <w:txbxContent>
                    <w:p w:rsidR="00CE546F" w:rsidRDefault="00CE546F">
                      <w:r w:rsidRPr="00CE546F">
                        <w:drawing>
                          <wp:inline distT="0" distB="0" distL="0" distR="0">
                            <wp:extent cx="1531620" cy="1668780"/>
                            <wp:effectExtent l="0" t="0" r="0" b="7620"/>
                            <wp:docPr id="8" name="圖片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1620" cy="166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324D" w:rsidRPr="001F7C94"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  <w:t>腎友如何吃得健康，</w:t>
      </w:r>
    </w:p>
    <w:p w:rsidR="009B324D" w:rsidRPr="001F7C94" w:rsidRDefault="009B324D" w:rsidP="00CE546F">
      <w:pPr>
        <w:autoSpaceDE w:val="0"/>
        <w:autoSpaceDN w:val="0"/>
        <w:adjustRightInd w:val="0"/>
        <w:snapToGrid w:val="0"/>
        <w:ind w:leftChars="300" w:left="720"/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</w:pPr>
      <w:r w:rsidRPr="001F7C94">
        <w:rPr>
          <w:rFonts w:ascii="微軟正黑體" w:eastAsia="微軟正黑體" w:hAnsi="微軟正黑體" w:cs="Arial Unicode MS"/>
          <w:b/>
          <w:color w:val="008080"/>
          <w:kern w:val="0"/>
          <w:sz w:val="48"/>
          <w:szCs w:val="48"/>
        </w:rPr>
        <w:t>避免高血磷症</w:t>
      </w:r>
    </w:p>
    <w:p w:rsidR="009B324D" w:rsidRPr="00F3687C" w:rsidRDefault="009B324D" w:rsidP="00586475">
      <w:pPr>
        <w:autoSpaceDE w:val="0"/>
        <w:autoSpaceDN w:val="0"/>
        <w:adjustRightInd w:val="0"/>
        <w:snapToGrid w:val="0"/>
        <w:ind w:leftChars="300" w:left="720" w:right="119"/>
        <w:rPr>
          <w:rFonts w:ascii="微軟正黑體" w:eastAsia="微軟正黑體" w:hAnsi="微軟正黑體" w:cs="Arial Unicode MS"/>
          <w:kern w:val="0"/>
          <w:szCs w:val="24"/>
        </w:rPr>
      </w:pPr>
      <w:r w:rsidRPr="00F3687C">
        <w:rPr>
          <w:rFonts w:ascii="微軟正黑體" w:eastAsia="微軟正黑體" w:hAnsi="微軟正黑體" w:cs="Arial Unicode MS"/>
          <w:color w:val="231F1F"/>
          <w:kern w:val="0"/>
          <w:szCs w:val="24"/>
        </w:rPr>
        <w:t>林口長庚紀念醫院 腎臟科 / 顏宗海教授</w:t>
      </w:r>
    </w:p>
    <w:p w:rsidR="00F45AD9" w:rsidRPr="001F7C94" w:rsidRDefault="00F45AD9" w:rsidP="005D5A88">
      <w:pPr>
        <w:autoSpaceDE w:val="0"/>
        <w:autoSpaceDN w:val="0"/>
        <w:adjustRightInd w:val="0"/>
        <w:snapToGrid w:val="0"/>
        <w:spacing w:line="480" w:lineRule="exact"/>
        <w:rPr>
          <w:rFonts w:ascii="微軟正黑體" w:eastAsia="微軟正黑體" w:hAnsi="微軟正黑體" w:cs="Arial Unicode MS"/>
          <w:color w:val="005D89"/>
          <w:kern w:val="0"/>
          <w:sz w:val="28"/>
          <w:szCs w:val="28"/>
        </w:rPr>
      </w:pPr>
    </w:p>
    <w:p w:rsidR="009B324D" w:rsidRPr="001F7C94" w:rsidRDefault="009B324D" w:rsidP="001F7C94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</w:pPr>
      <w:r w:rsidRPr="001F7C94"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  <w:t>前</w:t>
      </w:r>
      <w:r w:rsidR="001F7C94">
        <w:rPr>
          <w:rFonts w:ascii="微軟正黑體" w:eastAsia="微軟正黑體" w:hAnsi="微軟正黑體" w:cs="Arial Unicode MS" w:hint="eastAsia"/>
          <w:b/>
          <w:color w:val="008080"/>
          <w:kern w:val="0"/>
          <w:sz w:val="32"/>
          <w:szCs w:val="32"/>
        </w:rPr>
        <w:t xml:space="preserve">  </w:t>
      </w:r>
      <w:r w:rsidRPr="001F7C94"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  <w:t>言</w:t>
      </w:r>
    </w:p>
    <w:p w:rsidR="009B324D" w:rsidRPr="001F7C94" w:rsidRDefault="009B324D" w:rsidP="001F7C94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2017年1月媒體報導指出，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食藥署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預計開會討論是否放寬食品中磷酸鹽的含量標準。磷酸鹽為合法的食品添加物，但只限於食品製造或加工時使用，新鮮食材則不得添加，目前法規規定每公斤加工肉品的磷酸鹽含量不得超過3公克，未來將會針對不同品項的食品放寬添加標準。如口香糖將可能放寬至每公斤44公克，比現行標準高了將近14倍；而麵包、餅乾製品也考慮放寬到9.3公克，比現行標準高了將近3倍多。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食藥署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進一步解釋，新的政策調整方案主要是參考國際食品法典委員會（CODEX）的建議，希望國內磷酸鹽的添加標準能與國際接軌，不過確切的磷酸鹽使用量尚未定案。</w:t>
      </w:r>
    </w:p>
    <w:p w:rsidR="009B324D" w:rsidRPr="001F7C94" w:rsidRDefault="009B324D" w:rsidP="001F7C94">
      <w:pPr>
        <w:autoSpaceDE w:val="0"/>
        <w:autoSpaceDN w:val="0"/>
        <w:adjustRightInd w:val="0"/>
        <w:snapToGrid w:val="0"/>
        <w:spacing w:beforeLines="100" w:before="360" w:line="600" w:lineRule="exact"/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</w:pPr>
      <w:r w:rsidRPr="001F7C94"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  <w:t>高血磷症</w:t>
      </w:r>
    </w:p>
    <w:p w:rsidR="00653715" w:rsidRDefault="009B324D" w:rsidP="001F7C94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磷是人體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 xml:space="preserve">必需的礦物質，普遍存在於各類食物中，根據國人膳食營養素參考攝取量，一般成人每日建議磷攝取量為800毫克，13歲到18歲青少年為1000毫克，而美國腎臟基金會的腎臟疾病結局質量計劃（Kidney </w:t>
      </w:r>
      <w:proofErr w:type="spell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DiseaseOutcomes</w:t>
      </w:r>
      <w:proofErr w:type="spell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 xml:space="preserve"> Quality Initiative, KDOQI）指出，透析病人應採取低磷飲食，並建議每日磷攝取量為800-1000毫克。由於磷離子是經由腎臟排出，若長期大量攝取高磷食物，透析病人將無法順利把磷排出體外，可能會導致高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血磷症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，帶來不良的健康影響。</w:t>
      </w:r>
    </w:p>
    <w:p w:rsidR="00653715" w:rsidRDefault="009B324D" w:rsidP="00653715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正常成人血液中磷離子濃度為2.4-4.7 mg/</w:t>
      </w:r>
      <w:proofErr w:type="spell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dL</w:t>
      </w:r>
      <w:proofErr w:type="spell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，過高或過低的血磷濃度，對健康都會產生影響。多數的高血磷病人並沒有明顯的症狀，但仍有少數人會出現臨床症狀。磷酸鹽會和體內的鈣離子結合，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沉積於軟組織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當中，因此病人可能會出現低血</w:t>
      </w: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lastRenderedPageBreak/>
        <w:t>鈣症狀。長期高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血磷症也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會導致副甲狀腺機能亢進、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腎性骨頭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病變、血管或軟組織鈣化，腎衰竭等，最終會增加心血管疾病的風險。</w:t>
      </w:r>
    </w:p>
    <w:p w:rsidR="009B324D" w:rsidRPr="001F7C94" w:rsidRDefault="009B324D" w:rsidP="00653715">
      <w:pPr>
        <w:autoSpaceDE w:val="0"/>
        <w:autoSpaceDN w:val="0"/>
        <w:adjustRightInd w:val="0"/>
        <w:snapToGrid w:val="0"/>
        <w:spacing w:beforeLines="50" w:before="180"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有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鑑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於高血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磷症對於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腎臟病及心血管疾病的不良影響，2013年腎臟病改善整體結果機構（Kidney Disease</w:t>
      </w:r>
      <w:r w:rsidRPr="001F7C94"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  <w:t xml:space="preserve"> </w:t>
      </w: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Improving Global Outcomes，KDIGO）在西班牙馬德里的會議提出：建議慢性腎臟疾病或透析病患，可經由飲食控制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或磷結合劑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的使用，將血磷濃度控制在接近正常值的範圍，同時血鈣濃度須控制在正常值。因此建議透析患者，除了日常的飲食需要注意磷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攝取量外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，也需根據主治醫師的醫囑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服用磷結合劑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來控制體內血磷濃度。</w:t>
      </w:r>
    </w:p>
    <w:p w:rsidR="009B324D" w:rsidRPr="00653715" w:rsidRDefault="009B324D" w:rsidP="003313F3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</w:pPr>
      <w:r w:rsidRPr="00653715"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  <w:t>食物中磷含量和生物利用率</w:t>
      </w:r>
    </w:p>
    <w:p w:rsidR="009B324D" w:rsidRPr="001F7C94" w:rsidRDefault="009B324D" w:rsidP="000504F0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日常生活中的很多天然食物都屬於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高磷食材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，例如全穀類、內臟類、核果類及豆類、奶製品、新鮮肉類及海鮮等。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此外，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很多加工食品當中也含有人工添加的磷酸鹽，根據行政院衛生署公佈之「食品添加物使用範圍及用量標準」，磷酸鹽可合法使用於加工食品，但只限於食品製造或加工時使用，不可用於新鮮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食材中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，這些含磷化合物於加工食品中主要的作用是保水、黏著、抗氧化、防腐、抑菌、增加風味、及避免食物結塊等，例如重組肉和魚丸、肉丸等，即是藉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由含磷結著劑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，將許多小碎肉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黏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在一起，做成食品販售。目前法規規範的合法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結著劑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，共有16種可使用於加工肉品，包括焦磷酸鹽，多磷酸鹽、偏磷酸鹽、無水磷酸鹽、磷酸鹽、磷酸氫二鹽等。</w:t>
      </w:r>
    </w:p>
    <w:p w:rsidR="009B324D" w:rsidRPr="001F7C94" w:rsidRDefault="009B324D" w:rsidP="000504F0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食物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中的磷依化學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結構可分為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有機磷和無機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磷（圖一）。有機磷主要來源為食物本身的磷成分，而無機磷主要為人工添加，作為食品添加物，以火腿所含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的磷為例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，有一部分是來自於食物本身的有機磷，另外一部分則是來自人工添加的磷酸鹽。問題的癥結是，人體對於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無機磷的生物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利用率（bioavailability）很高，幾乎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9成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以上的無機磷都會被人體吸收，然而，市售的加工食品幾乎都沒有標示人工添加的磷酸鹽含量。學理上，來自動物蛋白中的有機磷，其生物利用率較低，約4到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6成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會被</w:t>
      </w: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lastRenderedPageBreak/>
        <w:t>人體吸收。至於植物蛋白中的有機磷，主要是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以植酸鹽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（</w:t>
      </w:r>
      <w:proofErr w:type="spell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phytate</w:t>
      </w:r>
      <w:proofErr w:type="spell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）的型態存在，由於人體缺乏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消化植酸鹽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的酵素，因此其生物利用率很低。所以，長期透析病人需了解各種食物的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含磷量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，才能避免吃到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高磷的食物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，進而導致高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血磷症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。</w:t>
      </w:r>
    </w:p>
    <w:p w:rsidR="009B324D" w:rsidRPr="001F7C94" w:rsidRDefault="009B324D" w:rsidP="003313F3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</w:pPr>
      <w:r w:rsidRPr="001F7C94"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  <w:t>違法使用磷酸鹽於新鮮食材的事件</w:t>
      </w:r>
    </w:p>
    <w:p w:rsidR="009B324D" w:rsidRPr="001F7C94" w:rsidRDefault="009B324D" w:rsidP="000504F0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國內法規允許磷酸鹽合法使用於加工食品當中，不可用於新鮮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食材中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，但過去還是有少數業者違法將磷酸鹽使用於新鮮食材當中。例如，2014年報導的國軍使用灌水肉的新聞，國軍供貨業者違法將牛、羊肉等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食材灌入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磷酸鹽溶液，增加肉品重量，再販售給國軍食用，從中牟取暴利。2014年蝦仁泡磷酸鹽事件，業者為了使蝦仁膨脹變大、增加重量、謀取更大利益，將蝦仁泡在磷酸鹽溶液中。2015年大陸鮮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蚵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泡磷酸鹽事件，業者為了增加鮮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蚵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重量，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將其泡在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磷酸鹽溶液中，再販賣給不知情的消費者。這些都是磷酸鹽違法使用的案例。因為法規明確規範磷酸鹽不得使用於新鮮食材，同時也有使用上限的規定，試問如果業者直接將新鮮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食材泡在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磷酸鹽溶液中，又如何控制磷酸鹽的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使用量呢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？</w:t>
      </w:r>
    </w:p>
    <w:p w:rsidR="008573B6" w:rsidRPr="001F7C94" w:rsidRDefault="008573B6" w:rsidP="003313F3">
      <w:pPr>
        <w:autoSpaceDE w:val="0"/>
        <w:autoSpaceDN w:val="0"/>
        <w:adjustRightInd w:val="0"/>
        <w:snapToGrid w:val="0"/>
        <w:spacing w:beforeLines="50" w:before="180" w:line="600" w:lineRule="exact"/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</w:pPr>
      <w:r w:rsidRPr="001F7C94"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  <w:t>結</w:t>
      </w:r>
      <w:r w:rsidR="001F7C94">
        <w:rPr>
          <w:rFonts w:ascii="微軟正黑體" w:eastAsia="微軟正黑體" w:hAnsi="微軟正黑體" w:cs="Arial Unicode MS" w:hint="eastAsia"/>
          <w:b/>
          <w:color w:val="008080"/>
          <w:kern w:val="0"/>
          <w:sz w:val="32"/>
          <w:szCs w:val="32"/>
        </w:rPr>
        <w:t xml:space="preserve">  </w:t>
      </w:r>
      <w:r w:rsidRPr="001F7C94">
        <w:rPr>
          <w:rFonts w:ascii="微軟正黑體" w:eastAsia="微軟正黑體" w:hAnsi="微軟正黑體" w:cs="Arial Unicode MS"/>
          <w:b/>
          <w:color w:val="008080"/>
          <w:kern w:val="0"/>
          <w:sz w:val="32"/>
          <w:szCs w:val="32"/>
        </w:rPr>
        <w:t>語</w:t>
      </w:r>
    </w:p>
    <w:p w:rsidR="00653715" w:rsidRDefault="008573B6" w:rsidP="000504F0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 w:hint="eastAsia"/>
          <w:color w:val="231F1F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今年國內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食藥署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預計討論是否放寬磷酸鹽的使用量標準，但2014年6月美國腎臟醫學會公開呼籲美國</w:t>
      </w:r>
      <w:proofErr w:type="gramStart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食藥署</w:t>
      </w:r>
      <w:proofErr w:type="gramEnd"/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對於食品中的磷酸鹽應有所限制：一、應強制要求業者在加工食品中明確標示磷酸鹽的含量。二、須標示食品中的天然和外加的磷酸鹽含量。三、對特殊敏感族群如慢性腎臟疾病患者，應訂出磷酸鹽每日的最大安全攝取量。</w:t>
      </w:r>
    </w:p>
    <w:p w:rsidR="008573B6" w:rsidRPr="001F7C94" w:rsidRDefault="008573B6" w:rsidP="000504F0">
      <w:pPr>
        <w:autoSpaceDE w:val="0"/>
        <w:autoSpaceDN w:val="0"/>
        <w:adjustRightInd w:val="0"/>
        <w:snapToGrid w:val="0"/>
        <w:spacing w:line="600" w:lineRule="exact"/>
        <w:ind w:firstLineChars="200" w:firstLine="560"/>
        <w:rPr>
          <w:rFonts w:ascii="微軟正黑體" w:eastAsia="微軟正黑體" w:hAnsi="微軟正黑體" w:cs="Arial Unicode MS"/>
          <w:kern w:val="0"/>
          <w:sz w:val="28"/>
          <w:szCs w:val="28"/>
        </w:rPr>
      </w:pPr>
      <w:r w:rsidRPr="001F7C94">
        <w:rPr>
          <w:rFonts w:ascii="微軟正黑體" w:eastAsia="微軟正黑體" w:hAnsi="微軟正黑體" w:cs="Arial Unicode MS"/>
          <w:color w:val="231F1F"/>
          <w:kern w:val="0"/>
          <w:sz w:val="28"/>
          <w:szCs w:val="28"/>
        </w:rPr>
        <w:t>考量到台灣是洗腎大國，國內洗腎盛行率居高不下，雖然加工食品中的磷酸鹽使用標準與國際接軌並沒有錯，可能可以促進貿易順暢，但是也因考量國人的健康情況，且目前國內並未強制加工食品需標示人工添加的磷酸鹽含量，可能會導致民眾不知道吃入多少磷酸鹽，因此建議政府應考量國情，審慎評估後再訂立新的磷酸鹽添加標準。</w:t>
      </w:r>
    </w:p>
    <w:p w:rsidR="007A6BBD" w:rsidRPr="001F7C94" w:rsidRDefault="007A6BBD" w:rsidP="003313F3">
      <w:pPr>
        <w:spacing w:line="600" w:lineRule="exact"/>
        <w:rPr>
          <w:rFonts w:ascii="微軟正黑體" w:eastAsia="微軟正黑體" w:hAnsi="微軟正黑體" w:cs="Arial Unicode MS"/>
          <w:sz w:val="28"/>
          <w:szCs w:val="28"/>
        </w:rPr>
      </w:pPr>
      <w:bookmarkStart w:id="0" w:name="_GoBack"/>
      <w:bookmarkEnd w:id="0"/>
    </w:p>
    <w:p w:rsidR="009B324D" w:rsidRPr="001F7C94" w:rsidRDefault="003E67FF" w:rsidP="003313F3">
      <w:pPr>
        <w:spacing w:line="600" w:lineRule="exact"/>
        <w:rPr>
          <w:rFonts w:ascii="微軟正黑體" w:eastAsia="微軟正黑體" w:hAnsi="微軟正黑體" w:cs="Arial Unicode MS"/>
          <w:sz w:val="28"/>
          <w:szCs w:val="28"/>
        </w:rPr>
      </w:pPr>
      <w:r w:rsidRPr="003E67FF">
        <w:rPr>
          <w:rFonts w:ascii="微軟正黑體" w:eastAsia="微軟正黑體" w:hAnsi="微軟正黑體" w:cs="Arial Unicode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4541520" cy="2453640"/>
                <wp:effectExtent l="0" t="0" r="0" b="381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520" cy="2453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7FF" w:rsidRDefault="003E67FF">
                            <w:r w:rsidRPr="003E67FF">
                              <w:drawing>
                                <wp:inline distT="0" distB="0" distL="0" distR="0">
                                  <wp:extent cx="4396740" cy="2095500"/>
                                  <wp:effectExtent l="0" t="0" r="3810" b="0"/>
                                  <wp:docPr id="5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96740" cy="2095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357.6pt;height:193.2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" filled="f" stroked="f">
                <v:textbox>
                  <w:txbxContent>
                    <w:p w:rsidR="003E67FF" w:rsidRDefault="003E67FF">
                      <w:r w:rsidRPr="003E67FF">
                        <w:drawing>
                          <wp:inline distT="0" distB="0" distL="0" distR="0">
                            <wp:extent cx="4396740" cy="2095500"/>
                            <wp:effectExtent l="0" t="0" r="3810" b="0"/>
                            <wp:docPr id="5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96740" cy="2095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B324D" w:rsidRPr="001F7C94" w:rsidRDefault="009B324D" w:rsidP="003313F3">
      <w:pPr>
        <w:spacing w:line="600" w:lineRule="exact"/>
        <w:rPr>
          <w:rFonts w:ascii="微軟正黑體" w:eastAsia="微軟正黑體" w:hAnsi="微軟正黑體" w:cs="Arial Unicode MS"/>
          <w:sz w:val="28"/>
          <w:szCs w:val="28"/>
        </w:rPr>
      </w:pPr>
    </w:p>
    <w:sectPr w:rsidR="009B324D" w:rsidRPr="001F7C94" w:rsidSect="008573B6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4D"/>
    <w:rsid w:val="000504F0"/>
    <w:rsid w:val="001F7C94"/>
    <w:rsid w:val="003313F3"/>
    <w:rsid w:val="003B44EA"/>
    <w:rsid w:val="003E67FF"/>
    <w:rsid w:val="00586475"/>
    <w:rsid w:val="005D5A88"/>
    <w:rsid w:val="00653715"/>
    <w:rsid w:val="007A6BBD"/>
    <w:rsid w:val="007E0734"/>
    <w:rsid w:val="008573B6"/>
    <w:rsid w:val="008E5165"/>
    <w:rsid w:val="009B324D"/>
    <w:rsid w:val="00CE546F"/>
    <w:rsid w:val="00D05689"/>
    <w:rsid w:val="00D134D3"/>
    <w:rsid w:val="00F353AF"/>
    <w:rsid w:val="00F3687C"/>
    <w:rsid w:val="00F4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67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2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6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330</Words>
  <Characters>1886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ling_劉幼玲</dc:creator>
  <cp:lastModifiedBy>ling_劉幼玲</cp:lastModifiedBy>
  <cp:revision>19</cp:revision>
  <dcterms:created xsi:type="dcterms:W3CDTF">2017-12-18T01:53:00Z</dcterms:created>
  <dcterms:modified xsi:type="dcterms:W3CDTF">2017-12-18T05:45:00Z</dcterms:modified>
</cp:coreProperties>
</file>