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CD" w:rsidRPr="00CF18EC" w:rsidRDefault="00ED2391" w:rsidP="00E64044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</w:pPr>
      <w:r w:rsidRPr="00CF18EC">
        <w:rPr>
          <w:rFonts w:ascii="Arial Unicode MS" w:eastAsia="Arial Unicode MS" w:hAnsi="Arial Unicode MS" w:cs="Arial Unicode MS"/>
          <w:noProof/>
          <w:color w:val="00808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953DA" wp14:editId="0C02A61E">
                <wp:simplePos x="0" y="0"/>
                <wp:positionH relativeFrom="column">
                  <wp:posOffset>4267835</wp:posOffset>
                </wp:positionH>
                <wp:positionV relativeFrom="paragraph">
                  <wp:posOffset>-433705</wp:posOffset>
                </wp:positionV>
                <wp:extent cx="1988820" cy="180594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391" w:rsidRDefault="00ED23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20346" wp14:editId="0F946BA6">
                                  <wp:extent cx="1562100" cy="1440180"/>
                                  <wp:effectExtent l="114300" t="95250" r="152400" b="1600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905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6.05pt;margin-top:-34.15pt;width:156.6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" stroked="f">
                <v:textbox>
                  <w:txbxContent>
                    <w:p w:rsidR="00ED2391" w:rsidRDefault="00ED2391">
                      <w:r>
                        <w:rPr>
                          <w:noProof/>
                        </w:rPr>
                        <w:drawing>
                          <wp:inline distT="0" distB="0" distL="0" distR="0" wp14:anchorId="2F920346" wp14:editId="0F946BA6">
                            <wp:extent cx="1562100" cy="1440180"/>
                            <wp:effectExtent l="114300" t="95250" r="152400" b="1600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1905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5FCD" w:rsidRPr="00CF18EC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低鈣透析液降低動脈</w:t>
      </w:r>
    </w:p>
    <w:p w:rsidR="00EA5FCD" w:rsidRPr="00E64044" w:rsidRDefault="00EA5FCD" w:rsidP="00E64044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008080"/>
          <w:kern w:val="0"/>
          <w:sz w:val="52"/>
          <w:szCs w:val="52"/>
        </w:rPr>
      </w:pPr>
      <w:r w:rsidRPr="00CF18EC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鈣化和改善低轉換骨頭疾病</w:t>
      </w:r>
    </w:p>
    <w:p w:rsidR="00243965" w:rsidRPr="00DF4E87" w:rsidRDefault="00EA5FCD" w:rsidP="00ED2391">
      <w:pPr>
        <w:tabs>
          <w:tab w:val="left" w:pos="3540"/>
        </w:tabs>
        <w:rPr>
          <w:rFonts w:ascii="Arial Unicode MS" w:eastAsia="Arial Unicode MS" w:hAnsi="Arial Unicode MS" w:cs="Arial Unicode MS"/>
          <w:color w:val="7F7F7F" w:themeColor="text1" w:themeTint="80"/>
          <w:szCs w:val="24"/>
        </w:rPr>
      </w:pPr>
      <w:proofErr w:type="gramStart"/>
      <w:r w:rsidRPr="00DF4E87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Cs w:val="24"/>
        </w:rPr>
        <w:t>祐</w:t>
      </w:r>
      <w:proofErr w:type="gramEnd"/>
      <w:r w:rsidRPr="00DF4E87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Cs w:val="24"/>
        </w:rPr>
        <w:t>腎內科診所</w:t>
      </w:r>
      <w:r w:rsidRPr="00DF4E87">
        <w:rPr>
          <w:rFonts w:ascii="Arial Unicode MS" w:eastAsia="Arial Unicode MS" w:hAnsi="Arial Unicode MS" w:cs="Arial Unicode MS"/>
          <w:color w:val="7F7F7F" w:themeColor="text1" w:themeTint="80"/>
          <w:kern w:val="0"/>
          <w:szCs w:val="24"/>
        </w:rPr>
        <w:t xml:space="preserve"> </w:t>
      </w:r>
      <w:r w:rsidRPr="00DF4E87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Cs w:val="24"/>
        </w:rPr>
        <w:t>腎臟科</w:t>
      </w:r>
      <w:r w:rsidRPr="00DF4E87">
        <w:rPr>
          <w:rFonts w:ascii="Arial Unicode MS" w:eastAsia="Arial Unicode MS" w:hAnsi="Arial Unicode MS" w:cs="Arial Unicode MS"/>
          <w:color w:val="7F7F7F" w:themeColor="text1" w:themeTint="80"/>
          <w:kern w:val="0"/>
          <w:szCs w:val="24"/>
        </w:rPr>
        <w:t xml:space="preserve">/ </w:t>
      </w:r>
      <w:r w:rsidRPr="00DF4E87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Cs w:val="24"/>
        </w:rPr>
        <w:t>蔡明宏醫師</w:t>
      </w:r>
      <w:r w:rsidR="00ED2391" w:rsidRPr="00DF4E87">
        <w:rPr>
          <w:rFonts w:ascii="Arial Unicode MS" w:eastAsia="Arial Unicode MS" w:hAnsi="Arial Unicode MS" w:cs="Arial Unicode MS"/>
          <w:color w:val="7F7F7F" w:themeColor="text1" w:themeTint="80"/>
          <w:kern w:val="0"/>
          <w:szCs w:val="24"/>
        </w:rPr>
        <w:tab/>
      </w:r>
    </w:p>
    <w:p w:rsidR="00EA5FCD" w:rsidRPr="00E64044" w:rsidRDefault="00EA5FCD" w:rsidP="00E64044">
      <w:pPr>
        <w:autoSpaceDE w:val="0"/>
        <w:autoSpaceDN w:val="0"/>
        <w:adjustRightInd w:val="0"/>
        <w:spacing w:beforeLines="100" w:before="36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血管鈣化和心臟血管疾病在末期慢性腎臟病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 (CKD) 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病患是主要問題所在，在透析人口，是</w:t>
      </w:r>
      <w:bookmarkStart w:id="0" w:name="_GoBack"/>
      <w:bookmarkEnd w:id="0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構成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罹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病率和死亡率主要的原因。慢性腎臟病患者，除了典型危險因子，也持有非典型心臟血管風險因素，例如：總透析年份、貧血、高半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胱胺酸血症</w:t>
      </w:r>
      <w:proofErr w:type="gram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( 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hyperhomocysteinaemia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、內皮細胞功能不良、慢性微小發炎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microinflammation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和礦物質代謝改變等。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ab/>
      </w:r>
    </w:p>
    <w:p w:rsidR="00EA5FCD" w:rsidRPr="00E64044" w:rsidRDefault="00EA5FCD" w:rsidP="00E64044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慢性腎臟病病患暴露在高鈣透析液會影響低轉換骨頭疾病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( 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lowturnover</w:t>
      </w:r>
      <w:proofErr w:type="spell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 xml:space="preserve"> 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bone disease)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及血管鈣化。低鈣透析液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(2.5meq/L)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在血清副甲狀腺素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iPTH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) &lt;100 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pg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/ml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的血液透析患者會改善骨頭礦物質參數和心臟血管鈣化指標，例如：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頸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動脈內膜厚度和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頸動脈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及腹主動脈鈣化計分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(score)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。</w:t>
      </w:r>
    </w:p>
    <w:p w:rsidR="00EA5FCD" w:rsidRPr="00E64044" w:rsidRDefault="00EA5FCD" w:rsidP="00E64044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40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幾年前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Fournier et al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等人發現用高鈣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透析液其血漿中磷低的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病人，副甲狀腺素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iPTH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是最低，用低鈣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透析液其血漿中磷高的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病人，副甲狀腺素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iPTH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最高。他們的結論是血液透析病人透析液中的鈣和血漿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中磷是副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甲狀腺功能重要的決定因素。</w:t>
      </w:r>
    </w:p>
    <w:p w:rsidR="00EA5FCD" w:rsidRPr="00E64044" w:rsidRDefault="00EA5FCD" w:rsidP="00E64044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最近一個隨機臨床試驗，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Ok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等人顯示降低透析液鈣濃度在基礎副甲狀腺素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iPTH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) ≤300 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pg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/ml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的血液透析病人可延緩冠狀動脈鈣化的進展及改善骨頭的轉換。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Gonzalez-Parra 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等人認為依據透析前基礎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血清鈣值</w:t>
      </w:r>
      <w:proofErr w:type="gram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,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使用透析液鈣的濃度因人而異，可避免透析後血清鈣和副甲狀腺素值產生重大偏差。</w:t>
      </w:r>
    </w:p>
    <w:p w:rsidR="00EA5FCD" w:rsidRPr="00E64044" w:rsidRDefault="00EA5FCD" w:rsidP="00E64044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血液透析病人可調整透析液鈣濃度來處理鈣磷平衡，改善骨頭的代謝，讓快速的血管鈣化減緩。可依據許多和鈣負荷有關的因子來開立更適當鈣濃度的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透析液給每個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病人。臨床上低鈣透析液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(2.5meq/L)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可能會增加維他命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D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的使用量，減低骨骼外鈣化的風險，在處理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無力型骨病變</w:t>
      </w:r>
      <w:proofErr w:type="gram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(</w:t>
      </w:r>
      <w:proofErr w:type="spellStart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adynamic</w:t>
      </w:r>
      <w:proofErr w:type="spellEnd"/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 xml:space="preserve"> bone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 xml:space="preserve"> </w:t>
      </w:r>
      <w:r w:rsidRPr="00E64044"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  <w:t>disease)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方面已被證明有幫助，</w:t>
      </w: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lastRenderedPageBreak/>
        <w:t>可期望增加骨頭轉換，然而低鈣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透析液在透析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時可能引發心律不整及低血壓。</w:t>
      </w:r>
    </w:p>
    <w:p w:rsidR="00EA5FCD" w:rsidRPr="00E64044" w:rsidRDefault="00EA5FCD" w:rsidP="00E64044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因為慢性腎臟病病患骨頭和礦物質代謝複雜的病理生理學，所以如今要決定理想的透析液鈣濃度似乎是件困難的任務，在完善處理不正常鈣平衡時，其他方面的觀點需要更清楚更完全地闡述，例如：治療</w:t>
      </w:r>
      <w:proofErr w:type="gramStart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高磷血症</w:t>
      </w:r>
      <w:proofErr w:type="gramEnd"/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、次發性副甲狀腺機能亢進、以及許多不同血液透析技術的出現等都須更完整的確認。</w:t>
      </w:r>
    </w:p>
    <w:p w:rsidR="00EA5FCD" w:rsidRPr="00E64044" w:rsidRDefault="00EA5FCD" w:rsidP="00E64044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7F7F7F" w:themeColor="text1" w:themeTint="80"/>
          <w:kern w:val="0"/>
          <w:sz w:val="28"/>
          <w:szCs w:val="28"/>
        </w:rPr>
      </w:pPr>
      <w:r w:rsidRPr="00E64044">
        <w:rPr>
          <w:rFonts w:ascii="Arial Unicode MS" w:eastAsia="Arial Unicode MS" w:hAnsi="Arial Unicode MS" w:cs="Arial Unicode MS" w:hint="eastAsia"/>
          <w:color w:val="7F7F7F" w:themeColor="text1" w:themeTint="80"/>
          <w:kern w:val="0"/>
          <w:sz w:val="28"/>
          <w:szCs w:val="28"/>
        </w:rPr>
        <w:t>結論：我們須維持透析的彈性，透析液鈣濃度需個人化來滿足慢性腎臟病病患的特別需求。</w:t>
      </w:r>
    </w:p>
    <w:sectPr w:rsidR="00EA5FCD" w:rsidRPr="00E64044" w:rsidSect="00EA5FC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CD"/>
    <w:rsid w:val="00243965"/>
    <w:rsid w:val="00901224"/>
    <w:rsid w:val="00CF18EC"/>
    <w:rsid w:val="00DF4E87"/>
    <w:rsid w:val="00E64044"/>
    <w:rsid w:val="00EA5FCD"/>
    <w:rsid w:val="00E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23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23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151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6</cp:revision>
  <dcterms:created xsi:type="dcterms:W3CDTF">2017-01-09T05:33:00Z</dcterms:created>
  <dcterms:modified xsi:type="dcterms:W3CDTF">2017-01-09T08:27:00Z</dcterms:modified>
</cp:coreProperties>
</file>