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1" w:rsidRPr="00F75314" w:rsidRDefault="00CA5751" w:rsidP="00CA5751">
      <w:pPr>
        <w:autoSpaceDE w:val="0"/>
        <w:autoSpaceDN w:val="0"/>
        <w:adjustRightInd w:val="0"/>
        <w:spacing w:line="600" w:lineRule="exact"/>
        <w:jc w:val="both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F75314">
        <w:rPr>
          <w:rFonts w:ascii="Arial Unicode MS" w:eastAsia="Arial Unicode MS" w:hAnsi="Arial Unicode MS" w:cs="Arial Unicode MS"/>
          <w:noProof/>
          <w:color w:val="00808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C09F" wp14:editId="2E5258FF">
                <wp:simplePos x="0" y="0"/>
                <wp:positionH relativeFrom="column">
                  <wp:posOffset>4382135</wp:posOffset>
                </wp:positionH>
                <wp:positionV relativeFrom="paragraph">
                  <wp:posOffset>-167005</wp:posOffset>
                </wp:positionV>
                <wp:extent cx="1859280" cy="1403985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51" w:rsidRDefault="00CA5751"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color w:val="008080"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ABE4E6" wp14:editId="48792C10">
                                  <wp:extent cx="1443600" cy="1406201"/>
                                  <wp:effectExtent l="133350" t="114300" r="137795" b="156210"/>
                                  <wp:docPr id="17" name="圖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600" cy="140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5.05pt;margin-top:-13.15pt;width:14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" filled="f" strokecolor="white [3212]">
                <v:textbox style="mso-fit-shape-to-text:t">
                  <w:txbxContent>
                    <w:p w:rsidR="00CA5751" w:rsidRDefault="00CA5751">
                      <w:r>
                        <w:rPr>
                          <w:rFonts w:ascii="Arial Unicode MS" w:eastAsia="Arial Unicode MS" w:hAnsi="Arial Unicode MS" w:cs="Arial Unicode MS"/>
                          <w:noProof/>
                          <w:color w:val="008080"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C7C04C9" wp14:editId="0CD05689">
                            <wp:extent cx="1443600" cy="1406201"/>
                            <wp:effectExtent l="133350" t="114300" r="137795" b="156210"/>
                            <wp:docPr id="17" name="圖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3600" cy="140620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22E2" w:rsidRPr="00F75314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血管鈣化知多少</w:t>
      </w:r>
      <w:r w:rsidR="000B22E2" w:rsidRPr="00F75314"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  <w:t>?</w:t>
      </w:r>
    </w:p>
    <w:p w:rsidR="000B22E2" w:rsidRPr="00F75314" w:rsidRDefault="000B22E2" w:rsidP="00CA5751">
      <w:pPr>
        <w:autoSpaceDE w:val="0"/>
        <w:autoSpaceDN w:val="0"/>
        <w:adjustRightInd w:val="0"/>
        <w:spacing w:line="600" w:lineRule="exact"/>
        <w:jc w:val="both"/>
        <w:rPr>
          <w:rFonts w:ascii="Arial Unicode MS" w:eastAsia="Arial Unicode MS" w:hAnsi="Arial Unicode MS" w:cs="Arial Unicode MS"/>
          <w:color w:val="008080"/>
          <w:kern w:val="0"/>
          <w:sz w:val="48"/>
          <w:szCs w:val="48"/>
        </w:rPr>
      </w:pPr>
      <w:r w:rsidRPr="00F75314">
        <w:rPr>
          <w:rFonts w:ascii="Arial Unicode MS" w:eastAsia="Arial Unicode MS" w:hAnsi="Arial Unicode MS" w:cs="Arial Unicode MS" w:hint="eastAsia"/>
          <w:color w:val="008080"/>
          <w:kern w:val="0"/>
          <w:sz w:val="48"/>
          <w:szCs w:val="48"/>
        </w:rPr>
        <w:t>千萬別讓「鈣化」上身！</w:t>
      </w:r>
    </w:p>
    <w:p w:rsidR="000B22E2" w:rsidRPr="00CA5751" w:rsidRDefault="000B22E2" w:rsidP="00CA575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8080"/>
          <w:kern w:val="0"/>
          <w:szCs w:val="24"/>
        </w:rPr>
      </w:pPr>
      <w:r w:rsidRPr="00CA5751">
        <w:rPr>
          <w:rFonts w:ascii="Arial Unicode MS" w:eastAsia="Arial Unicode MS" w:hAnsi="Arial Unicode MS" w:cs="Arial Unicode MS"/>
          <w:color w:val="008080"/>
          <w:kern w:val="0"/>
          <w:szCs w:val="24"/>
        </w:rPr>
        <w:t xml:space="preserve">- </w:t>
      </w:r>
      <w:r w:rsidRPr="00CA5751">
        <w:rPr>
          <w:rFonts w:ascii="Arial Unicode MS" w:eastAsia="Arial Unicode MS" w:hAnsi="Arial Unicode MS" w:cs="Arial Unicode MS" w:hint="eastAsia"/>
          <w:color w:val="008080"/>
          <w:kern w:val="0"/>
          <w:szCs w:val="24"/>
        </w:rPr>
        <w:t>低磷飲食加上好的降磷藥物，是維持血管健康的不二法門</w:t>
      </w:r>
      <w:r w:rsidRPr="00CA5751">
        <w:rPr>
          <w:rFonts w:ascii="Arial Unicode MS" w:eastAsia="Arial Unicode MS" w:hAnsi="Arial Unicode MS" w:cs="Arial Unicode MS"/>
          <w:color w:val="008080"/>
          <w:kern w:val="0"/>
          <w:szCs w:val="24"/>
        </w:rPr>
        <w:t>-</w:t>
      </w:r>
      <w:r w:rsidR="00CA5751" w:rsidRPr="00CA5751">
        <w:rPr>
          <w:rFonts w:ascii="Arial Unicode MS" w:eastAsia="Arial Unicode MS" w:hAnsi="Arial Unicode MS" w:cs="Arial Unicode MS" w:hint="eastAsia"/>
          <w:color w:val="008080"/>
          <w:kern w:val="0"/>
          <w:szCs w:val="24"/>
        </w:rPr>
        <w:t xml:space="preserve">       </w:t>
      </w:r>
    </w:p>
    <w:p w:rsidR="00CA5751" w:rsidRPr="00CA5751" w:rsidRDefault="00CA5751" w:rsidP="00CA5751">
      <w:pPr>
        <w:spacing w:line="480" w:lineRule="exact"/>
        <w:jc w:val="both"/>
        <w:rPr>
          <w:rFonts w:ascii="Arial Unicode MS" w:eastAsia="Arial Unicode MS" w:hAnsi="Arial Unicode MS" w:cs="Arial Unicode MS"/>
          <w:color w:val="000000"/>
          <w:kern w:val="0"/>
          <w:szCs w:val="24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馬偕紀念醫院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腎臟科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Cs w:val="24"/>
        </w:rPr>
        <w:t xml:space="preserve">/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林承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>叡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Cs w:val="24"/>
        </w:rPr>
        <w:t xml:space="preserve">醫師           </w:t>
      </w:r>
      <w:r w:rsidRPr="00CA5751">
        <w:rPr>
          <w:rFonts w:ascii="Arial Unicode MS" w:eastAsia="Arial Unicode MS" w:hAnsi="Arial Unicode MS" w:cs="Arial Unicode MS" w:hint="eastAsia"/>
          <w:color w:val="000000"/>
          <w:kern w:val="0"/>
          <w:szCs w:val="24"/>
        </w:rPr>
        <w:t xml:space="preserve">                           </w:t>
      </w:r>
    </w:p>
    <w:p w:rsidR="00CA5751" w:rsidRDefault="00CA5751" w:rsidP="00CA5751">
      <w:pPr>
        <w:jc w:val="right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</w:p>
    <w:p w:rsidR="00CA5751" w:rsidRPr="000B22E2" w:rsidRDefault="00CA5751" w:rsidP="00CA5751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8080"/>
          <w:kern w:val="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8080"/>
          <w:kern w:val="0"/>
          <w:sz w:val="20"/>
          <w:szCs w:val="20"/>
        </w:rPr>
        <w:t xml:space="preserve">                                                    </w:t>
      </w:r>
    </w:p>
    <w:p w:rsidR="00CA5751" w:rsidRDefault="00CA5751" w:rsidP="00CA5751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kern w:val="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8080"/>
          <w:kern w:val="0"/>
          <w:sz w:val="20"/>
          <w:szCs w:val="20"/>
        </w:rPr>
        <w:drawing>
          <wp:inline distT="0" distB="0" distL="0" distR="0" wp14:anchorId="04881D9E" wp14:editId="74E4F20A">
            <wp:extent cx="1219200" cy="13944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noProof/>
          <w:color w:val="000000"/>
          <w:kern w:val="0"/>
          <w:sz w:val="20"/>
          <w:szCs w:val="20"/>
        </w:rPr>
        <w:drawing>
          <wp:inline distT="0" distB="0" distL="0" distR="0" wp14:anchorId="0E2659F4" wp14:editId="7055A3E7">
            <wp:extent cx="1220400" cy="141473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4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51" w:rsidRPr="00D774D4" w:rsidRDefault="00CA5751" w:rsidP="00CA5751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0"/>
          <w:szCs w:val="20"/>
        </w:rPr>
        <w:t>左：電腦斷層掃描顯示胸部及腹部主動脈血管鈣化</w:t>
      </w:r>
    </w:p>
    <w:p w:rsidR="00CA5751" w:rsidRPr="00D774D4" w:rsidRDefault="00CA5751" w:rsidP="00CA5751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</w:pP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  <w:t xml:space="preserve">(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0"/>
          <w:szCs w:val="20"/>
        </w:rPr>
        <w:t>箭頭所指白色處為鈣化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  <w:t>)</w:t>
      </w:r>
    </w:p>
    <w:p w:rsidR="00CA5751" w:rsidRPr="00D774D4" w:rsidRDefault="00CA5751" w:rsidP="00CA5751">
      <w:pPr>
        <w:autoSpaceDE w:val="0"/>
        <w:autoSpaceDN w:val="0"/>
        <w:adjustRightInd w:val="0"/>
        <w:spacing w:line="24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0"/>
          <w:szCs w:val="20"/>
        </w:rPr>
        <w:t>右：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  <w:t xml:space="preserve">X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0"/>
          <w:szCs w:val="20"/>
        </w:rPr>
        <w:t>光顯示胸部及腹部主動脈血管鈣化</w:t>
      </w:r>
    </w:p>
    <w:p w:rsidR="00CA5751" w:rsidRPr="00D774D4" w:rsidRDefault="00CA5751" w:rsidP="00CA5751">
      <w:pPr>
        <w:spacing w:line="24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</w:pP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  <w:t xml:space="preserve">(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0"/>
          <w:szCs w:val="20"/>
        </w:rPr>
        <w:t>箭頭所指白色處為鈣化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0"/>
          <w:szCs w:val="20"/>
        </w:rPr>
        <w:t>)</w:t>
      </w:r>
    </w:p>
    <w:p w:rsidR="000B22E2" w:rsidRPr="00D774D4" w:rsidRDefault="000B22E2" w:rsidP="001436C6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血液透析治療至今已有數十年的歷史，規則的透析治療可大幅提升末期腎臟病患者的存活率。然而相較於一般族群，慢性腎病變患者之總死亡率仍居高不下。研究顯示長期透析患者，發生心血管疾病死亡的機率是一般族群的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10 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倍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；但若和年輕族群比較，則高達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100 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倍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以上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  <w:vertAlign w:val="superscript"/>
        </w:rPr>
        <w:t>1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。</w:t>
      </w:r>
    </w:p>
    <w:p w:rsidR="000B22E2" w:rsidRPr="00D774D4" w:rsidRDefault="000B22E2" w:rsidP="00CA5751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因此心血管疾病仍是導致末期腎臟病死亡的主要原因，依據統計約有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40%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的透析病患，因心血管疾病而死亡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  <w:vertAlign w:val="superscript"/>
        </w:rPr>
        <w:t>2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。主因為慢性腎臟病患者容易出現有粥狀動脈硬化與血管鈣化，當長期處於高血磷狀況下，就會讓透析腎友的血管及其他組織形成鈣化，進而增加心血管疾病的風險。</w:t>
      </w:r>
    </w:p>
    <w:p w:rsidR="000B22E2" w:rsidRPr="006825F1" w:rsidRDefault="000B22E2" w:rsidP="006825F1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為何已定期透析仍會有高血磷問題？</w:t>
      </w:r>
    </w:p>
    <w:p w:rsidR="000B22E2" w:rsidRPr="00D774D4" w:rsidRDefault="000B22E2" w:rsidP="00CA5751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健康的成年人在腎臟、腸道、骨骼及內分泌系統緊密相互調控下，將血磷維持在正常生理濃度。一般而言，腎臟為體內調節磷的主要器官。當腎功能逐漸衰退而進入長期透析時血磷即慢慢上升，以血液透析為例，每次洗腎約可移除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900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毫克的血磷，所以一週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3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次的血液透析治療約可移除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2700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毫克的血磷。而接受腹膜透析的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lastRenderedPageBreak/>
        <w:t>患者，則每週最多可清除約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2970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毫克的血磷，若接受透析的患者每日經口的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食物含約有</w:t>
      </w:r>
      <w:proofErr w:type="gramEnd"/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1000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毫克的磷，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經腸道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以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60%~80%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的吸收率來計算，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每週經腸道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吸收的磷至少有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4200 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毫克，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如此一來每週估計，大約會有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1000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毫克以上的磷堆積在體內，如此一來便會促進血管及組織鈣化，增加心血管疾病的風險。</w:t>
      </w:r>
    </w:p>
    <w:p w:rsidR="000B22E2" w:rsidRPr="006825F1" w:rsidRDefault="000B22E2" w:rsidP="006825F1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長期高</w:t>
      </w:r>
      <w:proofErr w:type="gramStart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血磷會帶來</w:t>
      </w:r>
      <w:proofErr w:type="gramEnd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那些危害？</w:t>
      </w:r>
    </w:p>
    <w:p w:rsidR="000B22E2" w:rsidRPr="00D774D4" w:rsidRDefault="000B22E2" w:rsidP="00CA5751">
      <w:pPr>
        <w:autoSpaceDE w:val="0"/>
        <w:autoSpaceDN w:val="0"/>
        <w:adjustRightInd w:val="0"/>
        <w:spacing w:line="600" w:lineRule="exact"/>
        <w:ind w:firstLineChars="200" w:firstLine="560"/>
        <w:jc w:val="both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血磷將會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對腎友帶來許多的危害，依據美國腎臟基金會（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K/DOQI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）指引，血磷濃度超過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5.5 mg/dl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，就稱為「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高磷血症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」。身體若長期處於高血磷的情況下，會造成多種併發症。如：血管容易鈣化、副甲狀腺亢進、心臟及瓣膜組織鈣化、內分泌異常、貧血、骨質疏鬆、骨骼變形、阿基里斯韌帶鈣化斷裂及關節炎等骨骼病變。尤其是血管、心臟及瓣膜組織鈣化導致的心血管疾病最為嚴重，更是導致透析病患死亡的主要原因之一。值得注意的是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高磷血症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就像隱形殺手一樣，一開始往往沒有明顯的症狀，因此延誤治療時機，導致莫大的危害。</w:t>
      </w:r>
    </w:p>
    <w:p w:rsidR="000B22E2" w:rsidRPr="006825F1" w:rsidRDefault="000B22E2" w:rsidP="006825F1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如何將血磷控制在合理範圍</w:t>
      </w:r>
      <w:r w:rsidRPr="006825F1"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  <w:t>?</w:t>
      </w:r>
    </w:p>
    <w:p w:rsidR="000B22E2" w:rsidRPr="00D774D4" w:rsidRDefault="000B22E2" w:rsidP="00CA5751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腎友吃的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愈營養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高磷的機會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也就愈高，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若腎友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的營養不足且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血磷低則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將來發生死亡的機率也隨之增加。目前對於治療高血磷的主要原則為降低過多由飲食而來的磷含量，因此藉由控制飲食中磷攝取及服用降磷劑雙管齊下，才能達到控制血磷的目標。也就是透析腎友在三餐進食或是吃點心時，同時將「磷結合劑」與食物共同食用，才能發揮最好的降磷效果。</w:t>
      </w:r>
    </w:p>
    <w:p w:rsidR="000B22E2" w:rsidRPr="006825F1" w:rsidRDefault="000B22E2" w:rsidP="006825F1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如何選擇適當的</w:t>
      </w:r>
      <w:proofErr w:type="gramStart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降磷結合劑</w:t>
      </w:r>
      <w:proofErr w:type="gramEnd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？</w:t>
      </w:r>
    </w:p>
    <w:p w:rsidR="000B22E2" w:rsidRPr="00D774D4" w:rsidRDefault="000B22E2" w:rsidP="00CA5751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目前可用來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降磷的藥物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有許多種包括含金屬類的降磷劑：鋁片、鈣片及福斯利諾。傳統含鋁的磷結合劑效果雖佳，長期使用會導致鋁中毒而增加貧血、骨病變及失智的風險；而以鈣片當磷結合劑，常面臨病患高血鈣而增加鈣化風險。以鑭為基礎的磷結合劑其效果雖然突出，但長期使用下來所累積的金屬濃渡是否會對身體造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lastRenderedPageBreak/>
        <w:t>成危害，仍須密切觀察。然而，非金屬離子性的磷結合劑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-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磷減樂（</w:t>
      </w:r>
      <w:proofErr w:type="spellStart"/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Sevelamer</w:t>
      </w:r>
      <w:proofErr w:type="spell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），為第二代的降磷劑，將第一代磷能解藥物所含氯酸鹽改良為碳酸鹽，可明顯改善代謝性酸中毒。其在降磷效果與安全性方面的表現也相當不錯，可免去鋁中毒與高血鈣的問題，且長期使用不易累積在體內。除了降磷外，磷減樂對於改善血管鈣化、降低膽固醇及尿酸、改善氧化發炎因子、吸附尿毒素等也有相當好的成效。提供腎友多重的保護，可說是一舉數得。此外，磷減樂也有錠劑與粉狀劑型的藥物可供腎友選擇，使用上十分方便容易。</w:t>
      </w:r>
    </w:p>
    <w:p w:rsidR="000B22E2" w:rsidRPr="006825F1" w:rsidRDefault="000B22E2" w:rsidP="006825F1">
      <w:pPr>
        <w:autoSpaceDE w:val="0"/>
        <w:autoSpaceDN w:val="0"/>
        <w:adjustRightInd w:val="0"/>
        <w:spacing w:beforeLines="50" w:before="180"/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</w:pPr>
      <w:proofErr w:type="gramStart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影響腎</w:t>
      </w:r>
      <w:proofErr w:type="gramEnd"/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友血管鈣化的危險因子是什麼</w:t>
      </w:r>
      <w:r w:rsidRPr="006825F1">
        <w:rPr>
          <w:rFonts w:ascii="Arial Unicode MS" w:eastAsia="Arial Unicode MS" w:hAnsi="Arial Unicode MS" w:cs="Arial Unicode MS"/>
          <w:bCs/>
          <w:color w:val="008080"/>
          <w:kern w:val="0"/>
          <w:sz w:val="32"/>
          <w:szCs w:val="32"/>
        </w:rPr>
        <w:t>?</w:t>
      </w:r>
      <w:r w:rsidRPr="006825F1">
        <w:rPr>
          <w:rFonts w:ascii="Arial Unicode MS" w:eastAsia="Arial Unicode MS" w:hAnsi="Arial Unicode MS" w:cs="Arial Unicode MS" w:hint="eastAsia"/>
          <w:bCs/>
          <w:color w:val="008080"/>
          <w:kern w:val="0"/>
          <w:sz w:val="32"/>
          <w:szCs w:val="32"/>
        </w:rPr>
        <w:t>如何知道血管鈣化？</w:t>
      </w:r>
    </w:p>
    <w:p w:rsidR="00CA5751" w:rsidRPr="00D774D4" w:rsidRDefault="000B22E2" w:rsidP="00CA5751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隨著腎功能的衰退，血管鈣化的風險愈來愈高。其中年齡、糖尿病及透析時間愈長等都是危險因子之一，對於腎友還有許多可以矯正的危險因子如：高血磷、高血鈣，鈣磷乘積大於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55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、副甲狀腺機能亢進、使用高劑量維生素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D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、血酯異常、慢性發炎及抽煙等。除此之外，美國腎臟病促進改善基金會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(KDIGO)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也建議針對中重度慢性腎臟病腎友安排側面腹部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x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光或心臟超音波做為心血管鈣化的篩檢。控制危險因子與定期檢查，為降低血管鈣化首要工作。</w:t>
      </w:r>
    </w:p>
    <w:p w:rsidR="009F4C70" w:rsidRPr="00D774D4" w:rsidRDefault="000B22E2" w:rsidP="004121F1">
      <w:pPr>
        <w:autoSpaceDE w:val="0"/>
        <w:autoSpaceDN w:val="0"/>
        <w:adjustRightInd w:val="0"/>
        <w:spacing w:beforeLines="50" w:before="180" w:line="600" w:lineRule="exact"/>
        <w:ind w:firstLineChars="200" w:firstLine="560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透析腎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友為了兼顧營養與血磷穩定，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 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一定要從日常飲食好好控制，同時遵照醫師的指示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使用磷結合劑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，因為高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血磷是導致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血管鈣化的主要原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兇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，聰明選擇適當的藥物與定期的血管鈣化追蹤格外重要。研究顯示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磷減樂不僅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可改善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高磷血症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，相較於使用鈣片能有效地預防血管鈣化形成；並可降低</w:t>
      </w:r>
      <w:proofErr w:type="gramStart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透析腎</w:t>
      </w:r>
      <w:proofErr w:type="gramEnd"/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友的心血管相關死亡率</w:t>
      </w:r>
      <w:r w:rsidRPr="00D774D4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  <w:vertAlign w:val="superscript"/>
        </w:rPr>
        <w:t>3</w:t>
      </w:r>
      <w:r w:rsidRPr="00D774D4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。如此一來可讓您的血管永保彈性與健康，也可跟血管鈣化說拜拜！</w:t>
      </w:r>
    </w:p>
    <w:p w:rsidR="000B22E2" w:rsidRPr="004121F1" w:rsidRDefault="000B22E2" w:rsidP="004121F1">
      <w:pPr>
        <w:autoSpaceDE w:val="0"/>
        <w:autoSpaceDN w:val="0"/>
        <w:adjustRightInd w:val="0"/>
        <w:spacing w:line="600" w:lineRule="exact"/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</w:pPr>
      <w:r w:rsidRPr="004121F1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( </w:t>
      </w:r>
      <w:r w:rsidRPr="004121F1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轉載自中華民國腹膜透析協會第</w:t>
      </w:r>
      <w:r w:rsidRPr="004121F1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 xml:space="preserve">71 </w:t>
      </w:r>
      <w:r w:rsidRPr="004121F1">
        <w:rPr>
          <w:rFonts w:ascii="Arial Unicode MS" w:eastAsia="Arial Unicode MS" w:hAnsi="Arial Unicode MS" w:cs="Arial Unicode MS" w:hint="eastAsia"/>
          <w:color w:val="595959" w:themeColor="text1" w:themeTint="A6"/>
          <w:kern w:val="0"/>
          <w:sz w:val="28"/>
          <w:szCs w:val="28"/>
        </w:rPr>
        <w:t>期會訊</w:t>
      </w:r>
      <w:r w:rsidRPr="004121F1">
        <w:rPr>
          <w:rFonts w:ascii="Arial Unicode MS" w:eastAsia="Arial Unicode MS" w:hAnsi="Arial Unicode MS" w:cs="Arial Unicode MS"/>
          <w:color w:val="595959" w:themeColor="text1" w:themeTint="A6"/>
          <w:kern w:val="0"/>
          <w:sz w:val="28"/>
          <w:szCs w:val="28"/>
        </w:rPr>
        <w:t>)</w:t>
      </w:r>
    </w:p>
    <w:p w:rsidR="000B22E2" w:rsidRPr="004121F1" w:rsidRDefault="000B22E2" w:rsidP="00CA5751">
      <w:pPr>
        <w:autoSpaceDE w:val="0"/>
        <w:autoSpaceDN w:val="0"/>
        <w:adjustRightInd w:val="0"/>
        <w:spacing w:beforeLines="100" w:before="360"/>
        <w:rPr>
          <w:rFonts w:ascii="Arial Unicode MS" w:eastAsia="Arial Unicode MS" w:hAnsi="Arial Unicode MS" w:cs="Arial Unicode MS"/>
          <w:bCs/>
          <w:color w:val="008080"/>
          <w:kern w:val="0"/>
          <w:szCs w:val="24"/>
        </w:rPr>
      </w:pPr>
      <w:r w:rsidRPr="004121F1">
        <w:rPr>
          <w:rFonts w:ascii="Arial Unicode MS" w:eastAsia="Arial Unicode MS" w:hAnsi="Arial Unicode MS" w:cs="Arial Unicode MS" w:hint="eastAsia"/>
          <w:bCs/>
          <w:color w:val="008080"/>
          <w:kern w:val="0"/>
          <w:szCs w:val="24"/>
        </w:rPr>
        <w:t>參考文獻</w:t>
      </w:r>
      <w:bookmarkStart w:id="0" w:name="_GoBack"/>
      <w:bookmarkEnd w:id="0"/>
    </w:p>
    <w:p w:rsidR="000B22E2" w:rsidRPr="00D774D4" w:rsidRDefault="000B22E2" w:rsidP="000B22E2">
      <w:pPr>
        <w:autoSpaceDE w:val="0"/>
        <w:autoSpaceDN w:val="0"/>
        <w:adjustRightInd w:val="0"/>
        <w:rPr>
          <w:rFonts w:ascii="ArialMT" w:eastAsia="DFHeiStd-W3" w:hAnsi="ArialMT" w:cs="ArialMT"/>
          <w:color w:val="595959" w:themeColor="text1" w:themeTint="A6"/>
          <w:kern w:val="0"/>
          <w:sz w:val="22"/>
        </w:rPr>
      </w:pPr>
      <w:proofErr w:type="gram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1.Moody</w:t>
      </w:r>
      <w:proofErr w:type="gram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WE, Edwards NC,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ChueCD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, Ferro CJ,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Townend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JN. Arterial</w:t>
      </w:r>
      <w:r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disease in chronic kidney disease.</w:t>
      </w:r>
    </w:p>
    <w:p w:rsidR="000B22E2" w:rsidRPr="00D774D4" w:rsidRDefault="000B22E2" w:rsidP="000B22E2">
      <w:pPr>
        <w:autoSpaceDE w:val="0"/>
        <w:autoSpaceDN w:val="0"/>
        <w:adjustRightInd w:val="0"/>
        <w:rPr>
          <w:rFonts w:ascii="ArialMT" w:eastAsia="DFHeiStd-W3" w:hAnsi="ArialMT" w:cs="ArialMT"/>
          <w:color w:val="595959" w:themeColor="text1" w:themeTint="A6"/>
          <w:kern w:val="0"/>
          <w:sz w:val="22"/>
        </w:rPr>
      </w:pP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Heart 2013; 99: 365-72.</w:t>
      </w:r>
    </w:p>
    <w:p w:rsidR="000B22E2" w:rsidRPr="00D774D4" w:rsidRDefault="000B22E2" w:rsidP="000B22E2">
      <w:pPr>
        <w:autoSpaceDE w:val="0"/>
        <w:autoSpaceDN w:val="0"/>
        <w:adjustRightInd w:val="0"/>
        <w:rPr>
          <w:rFonts w:ascii="ArialMT" w:eastAsia="DFHeiStd-W3" w:hAnsi="ArialMT" w:cs="ArialMT"/>
          <w:color w:val="595959" w:themeColor="text1" w:themeTint="A6"/>
          <w:kern w:val="0"/>
          <w:sz w:val="22"/>
        </w:rPr>
      </w:pP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2.Parfrey PS, Foley RN. </w:t>
      </w:r>
      <w:proofErr w:type="gram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The clinical</w:t>
      </w:r>
      <w:r w:rsidR="006E6021"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epidemiology of cardiac disease in</w:t>
      </w:r>
      <w:r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chronic renal failure.</w:t>
      </w:r>
      <w:proofErr w:type="gram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J Am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Soc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ofNephrol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1999; 10: 1606-15.</w:t>
      </w:r>
    </w:p>
    <w:p w:rsidR="000B22E2" w:rsidRPr="00D774D4" w:rsidRDefault="000B22E2" w:rsidP="000B22E2">
      <w:pPr>
        <w:autoSpaceDE w:val="0"/>
        <w:autoSpaceDN w:val="0"/>
        <w:adjustRightInd w:val="0"/>
        <w:rPr>
          <w:rFonts w:ascii="ArialMT" w:eastAsia="DFHeiStd-W3" w:hAnsi="ArialMT" w:cs="ArialMT"/>
          <w:color w:val="595959" w:themeColor="text1" w:themeTint="A6"/>
          <w:kern w:val="0"/>
          <w:sz w:val="22"/>
        </w:rPr>
      </w:pP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lastRenderedPageBreak/>
        <w:t xml:space="preserve">3.Block GA, Spiegel DM, Ehrlich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J,Mehta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R, Lindbergh J,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Dreisbach</w:t>
      </w:r>
      <w:proofErr w:type="spellEnd"/>
      <w:r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A,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Raggi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P. Effects of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sevelamer</w:t>
      </w:r>
      <w:proofErr w:type="spellEnd"/>
    </w:p>
    <w:p w:rsidR="00E038E0" w:rsidRPr="00D774D4" w:rsidRDefault="000B22E2" w:rsidP="006E6021">
      <w:pPr>
        <w:autoSpaceDE w:val="0"/>
        <w:autoSpaceDN w:val="0"/>
        <w:adjustRightInd w:val="0"/>
        <w:rPr>
          <w:rFonts w:ascii="ArialMT" w:eastAsia="DFHeiStd-W3" w:hAnsi="ArialMT" w:cs="ArialMT"/>
          <w:color w:val="595959" w:themeColor="text1" w:themeTint="A6"/>
          <w:kern w:val="0"/>
          <w:sz w:val="22"/>
        </w:rPr>
      </w:pPr>
      <w:proofErr w:type="gram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and</w:t>
      </w:r>
      <w:proofErr w:type="gram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calcium on coronary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ar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tery</w:t>
      </w:r>
      <w:proofErr w:type="spellEnd"/>
      <w:r w:rsidR="006E6021"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proofErr w:type="spellStart"/>
      <w:r w:rsidR="006E6021"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calcif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icat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ion in pat </w:t>
      </w:r>
      <w:proofErr w:type="spell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ients</w:t>
      </w:r>
      <w:proofErr w:type="spellEnd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 new to</w:t>
      </w:r>
      <w:r w:rsidRPr="00D774D4">
        <w:rPr>
          <w:rFonts w:ascii="ArialMT" w:eastAsia="DFHeiStd-W3" w:hAnsi="ArialMT" w:cs="ArialMT" w:hint="eastAsia"/>
          <w:color w:val="595959" w:themeColor="text1" w:themeTint="A6"/>
          <w:kern w:val="0"/>
          <w:sz w:val="22"/>
        </w:rPr>
        <w:t xml:space="preserve"> </w:t>
      </w:r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 xml:space="preserve">hemodialysis.. </w:t>
      </w:r>
      <w:proofErr w:type="gramStart"/>
      <w:r w:rsidRPr="00D774D4">
        <w:rPr>
          <w:rFonts w:ascii="ArialMT" w:eastAsia="DFHeiStd-W3" w:hAnsi="ArialMT" w:cs="ArialMT"/>
          <w:color w:val="595959" w:themeColor="text1" w:themeTint="A6"/>
          <w:kern w:val="0"/>
          <w:sz w:val="22"/>
        </w:rPr>
        <w:t>Kidney Int. 2005; 68:</w:t>
      </w:r>
      <w:r w:rsidR="00E038E0" w:rsidRPr="00D774D4">
        <w:rPr>
          <w:rFonts w:ascii="ArialMT" w:hAnsi="ArialMT" w:cs="ArialMT"/>
          <w:color w:val="595959" w:themeColor="text1" w:themeTint="A6"/>
          <w:kern w:val="0"/>
          <w:sz w:val="22"/>
        </w:rPr>
        <w:t xml:space="preserve"> 1815-24.</w:t>
      </w:r>
      <w:proofErr w:type="gramEnd"/>
    </w:p>
    <w:sectPr w:rsidR="00E038E0" w:rsidRPr="00D774D4" w:rsidSect="000B22E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altName w:val="小狼毛趙佶S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E2"/>
    <w:rsid w:val="000B22E2"/>
    <w:rsid w:val="001436C6"/>
    <w:rsid w:val="00243965"/>
    <w:rsid w:val="004121F1"/>
    <w:rsid w:val="006825F1"/>
    <w:rsid w:val="006E6021"/>
    <w:rsid w:val="007D3FF8"/>
    <w:rsid w:val="00893B95"/>
    <w:rsid w:val="00901224"/>
    <w:rsid w:val="009F4C70"/>
    <w:rsid w:val="00BB3052"/>
    <w:rsid w:val="00CA5751"/>
    <w:rsid w:val="00D774D4"/>
    <w:rsid w:val="00DB4E09"/>
    <w:rsid w:val="00E038E0"/>
    <w:rsid w:val="00F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57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5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378</Words>
  <Characters>2158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14</cp:revision>
  <dcterms:created xsi:type="dcterms:W3CDTF">2017-01-09T04:25:00Z</dcterms:created>
  <dcterms:modified xsi:type="dcterms:W3CDTF">2017-01-09T08:38:00Z</dcterms:modified>
</cp:coreProperties>
</file>